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25BBB" w14:textId="1D10E88A" w:rsidR="00FD25B6" w:rsidRPr="00FD25B6" w:rsidRDefault="00FD25B6">
      <w:pPr>
        <w:rPr>
          <w:b/>
          <w:u w:val="single"/>
        </w:rPr>
      </w:pPr>
      <w:r w:rsidRPr="00FD25B6">
        <w:rPr>
          <w:b/>
          <w:u w:val="single"/>
        </w:rPr>
        <w:t>Tardieu Validity Studies:</w:t>
      </w:r>
    </w:p>
    <w:p w14:paraId="566EC1D8" w14:textId="0B7CEEA5" w:rsidR="00DE7BE6" w:rsidRDefault="008812C2" w:rsidP="00DE7BE6">
      <w:pPr>
        <w:autoSpaceDE w:val="0"/>
        <w:autoSpaceDN w:val="0"/>
        <w:adjustRightInd w:val="0"/>
        <w:spacing w:after="0" w:line="240" w:lineRule="auto"/>
        <w:jc w:val="both"/>
        <w:rPr>
          <w:rFonts w:eastAsia="Times New Roman"/>
          <w:spacing w:val="0"/>
          <w:sz w:val="22"/>
          <w:szCs w:val="22"/>
        </w:rPr>
      </w:pPr>
      <w:r>
        <w:rPr>
          <w:bCs/>
          <w:spacing w:val="0"/>
          <w:sz w:val="22"/>
          <w:szCs w:val="22"/>
        </w:rPr>
        <w:t xml:space="preserve">There </w:t>
      </w:r>
      <w:r w:rsidR="00A03778">
        <w:rPr>
          <w:bCs/>
          <w:spacing w:val="0"/>
          <w:sz w:val="22"/>
          <w:szCs w:val="22"/>
        </w:rPr>
        <w:t>are only a limited number of studies</w:t>
      </w:r>
      <w:r>
        <w:rPr>
          <w:bCs/>
          <w:spacing w:val="0"/>
          <w:sz w:val="22"/>
          <w:szCs w:val="22"/>
        </w:rPr>
        <w:t xml:space="preserve"> exploring the validity of</w:t>
      </w:r>
      <w:r w:rsidR="006C5406">
        <w:rPr>
          <w:bCs/>
          <w:spacing w:val="0"/>
          <w:sz w:val="22"/>
          <w:szCs w:val="22"/>
        </w:rPr>
        <w:t xml:space="preserve"> the Tardieu Scale. </w:t>
      </w:r>
      <w:r w:rsidR="00DE7BE6" w:rsidRPr="001D47EF">
        <w:rPr>
          <w:bCs/>
          <w:spacing w:val="0"/>
          <w:sz w:val="22"/>
          <w:szCs w:val="22"/>
        </w:rPr>
        <w:t xml:space="preserve">Most validity studies aim to correlate the </w:t>
      </w:r>
      <w:r w:rsidR="00DE7BE6">
        <w:rPr>
          <w:bCs/>
          <w:spacing w:val="0"/>
          <w:sz w:val="22"/>
          <w:szCs w:val="22"/>
        </w:rPr>
        <w:t>Modified Tardieu Scale (MTS)</w:t>
      </w:r>
      <w:r w:rsidR="00DE7BE6" w:rsidRPr="001D47EF">
        <w:rPr>
          <w:bCs/>
          <w:spacing w:val="0"/>
          <w:sz w:val="22"/>
          <w:szCs w:val="22"/>
        </w:rPr>
        <w:t xml:space="preserve"> with other clinical measurements of spasticity, neurophysiological measures, or</w:t>
      </w:r>
      <w:r w:rsidR="00DE7BE6" w:rsidRPr="001D47EF">
        <w:rPr>
          <w:rFonts w:eastAsia="Times New Roman"/>
          <w:spacing w:val="0"/>
          <w:sz w:val="22"/>
          <w:szCs w:val="22"/>
        </w:rPr>
        <w:t xml:space="preserve"> biomechanical indices</w:t>
      </w:r>
      <w:r w:rsidR="00DE7BE6">
        <w:rPr>
          <w:rFonts w:eastAsia="Times New Roman"/>
          <w:spacing w:val="0"/>
          <w:sz w:val="22"/>
          <w:szCs w:val="22"/>
        </w:rPr>
        <w:t xml:space="preserve"> or test the sensitivity of the MTS to detect changes after treatment</w:t>
      </w:r>
      <w:r w:rsidR="00DE7BE6" w:rsidRPr="001D47EF">
        <w:rPr>
          <w:rFonts w:eastAsia="Times New Roman"/>
          <w:spacing w:val="0"/>
          <w:sz w:val="22"/>
          <w:szCs w:val="22"/>
        </w:rPr>
        <w:t xml:space="preserve">. </w:t>
      </w:r>
    </w:p>
    <w:p w14:paraId="5003B7FC" w14:textId="77777777" w:rsidR="00DE7BE6" w:rsidRDefault="00DE7BE6" w:rsidP="00DE7BE6">
      <w:pPr>
        <w:autoSpaceDE w:val="0"/>
        <w:autoSpaceDN w:val="0"/>
        <w:adjustRightInd w:val="0"/>
        <w:spacing w:after="0" w:line="240" w:lineRule="auto"/>
        <w:jc w:val="both"/>
        <w:rPr>
          <w:rFonts w:eastAsia="Times New Roman"/>
          <w:spacing w:val="0"/>
          <w:sz w:val="22"/>
          <w:szCs w:val="22"/>
        </w:rPr>
      </w:pPr>
    </w:p>
    <w:p w14:paraId="7982F578" w14:textId="57BE5970" w:rsidR="00DE7BE6" w:rsidRDefault="00D8447B" w:rsidP="00DE7BE6">
      <w:pPr>
        <w:autoSpaceDE w:val="0"/>
        <w:autoSpaceDN w:val="0"/>
        <w:adjustRightInd w:val="0"/>
        <w:spacing w:after="0" w:line="240" w:lineRule="auto"/>
        <w:jc w:val="both"/>
        <w:rPr>
          <w:rFonts w:eastAsia="Times New Roman"/>
          <w:spacing w:val="0"/>
          <w:sz w:val="22"/>
          <w:szCs w:val="22"/>
        </w:rPr>
      </w:pPr>
      <w:r>
        <w:rPr>
          <w:rFonts w:eastAsia="Times New Roman"/>
          <w:spacing w:val="0"/>
          <w:sz w:val="22"/>
          <w:szCs w:val="22"/>
        </w:rPr>
        <w:t xml:space="preserve">The results are highly variable. </w:t>
      </w:r>
      <w:r w:rsidR="00DE7BE6">
        <w:rPr>
          <w:rFonts w:eastAsia="Times New Roman"/>
          <w:spacing w:val="0"/>
          <w:sz w:val="22"/>
          <w:szCs w:val="22"/>
        </w:rPr>
        <w:t xml:space="preserve">Although </w:t>
      </w:r>
      <w:r>
        <w:rPr>
          <w:rFonts w:eastAsia="Times New Roman"/>
          <w:spacing w:val="0"/>
          <w:sz w:val="22"/>
          <w:szCs w:val="22"/>
        </w:rPr>
        <w:t>several</w:t>
      </w:r>
      <w:r w:rsidR="00DE7BE6" w:rsidRPr="001D47EF">
        <w:rPr>
          <w:rFonts w:eastAsia="Times New Roman"/>
          <w:spacing w:val="0"/>
          <w:sz w:val="22"/>
          <w:szCs w:val="22"/>
        </w:rPr>
        <w:t xml:space="preserve"> studies</w:t>
      </w:r>
      <w:r w:rsidR="00DE7BE6">
        <w:rPr>
          <w:rFonts w:eastAsia="Times New Roman"/>
          <w:spacing w:val="0"/>
          <w:sz w:val="22"/>
          <w:szCs w:val="22"/>
        </w:rPr>
        <w:t xml:space="preserve"> did not </w:t>
      </w:r>
      <w:r w:rsidR="00DE7BE6" w:rsidRPr="001D47EF">
        <w:rPr>
          <w:rFonts w:eastAsia="Times New Roman"/>
          <w:spacing w:val="0"/>
          <w:sz w:val="22"/>
          <w:szCs w:val="22"/>
        </w:rPr>
        <w:t>support the validity of the</w:t>
      </w:r>
      <w:r w:rsidR="00DE7BE6">
        <w:rPr>
          <w:rFonts w:eastAsia="Times New Roman"/>
          <w:spacing w:val="0"/>
          <w:sz w:val="22"/>
          <w:szCs w:val="22"/>
        </w:rPr>
        <w:t xml:space="preserve"> MTS</w:t>
      </w:r>
      <w:r>
        <w:rPr>
          <w:rFonts w:eastAsia="Times New Roman"/>
          <w:spacing w:val="0"/>
          <w:sz w:val="22"/>
          <w:szCs w:val="22"/>
        </w:rPr>
        <w:t xml:space="preserve"> in a particular population or muscle group for specific laboratory measures</w:t>
      </w:r>
      <w:r w:rsidR="00DE7BE6">
        <w:rPr>
          <w:rFonts w:eastAsia="Times New Roman"/>
          <w:spacing w:val="0"/>
          <w:sz w:val="22"/>
          <w:szCs w:val="22"/>
        </w:rPr>
        <w:t xml:space="preserve">, </w:t>
      </w:r>
      <w:r w:rsidR="00D77B70">
        <w:rPr>
          <w:rFonts w:eastAsia="Times New Roman"/>
          <w:spacing w:val="0"/>
          <w:sz w:val="22"/>
          <w:szCs w:val="22"/>
        </w:rPr>
        <w:t>others</w:t>
      </w:r>
      <w:r w:rsidR="00DE7BE6" w:rsidRPr="001D47EF">
        <w:rPr>
          <w:rFonts w:eastAsia="Times New Roman"/>
          <w:spacing w:val="0"/>
          <w:sz w:val="22"/>
          <w:szCs w:val="22"/>
        </w:rPr>
        <w:t xml:space="preserve"> provide evidence</w:t>
      </w:r>
      <w:r w:rsidR="00DE7BE6">
        <w:rPr>
          <w:rFonts w:eastAsia="Times New Roman"/>
          <w:spacing w:val="0"/>
          <w:sz w:val="22"/>
          <w:szCs w:val="22"/>
        </w:rPr>
        <w:t xml:space="preserve"> that the MTS is a valid tool for the use of assessment of spasticity in adults and children.</w:t>
      </w:r>
      <w:r w:rsidR="00DE7BE6" w:rsidRPr="001D47EF">
        <w:rPr>
          <w:rFonts w:eastAsia="Times New Roman"/>
          <w:spacing w:val="0"/>
          <w:sz w:val="22"/>
          <w:szCs w:val="22"/>
        </w:rPr>
        <w:t xml:space="preserve"> </w:t>
      </w:r>
    </w:p>
    <w:p w14:paraId="6D73B1AF" w14:textId="77777777" w:rsidR="00DE7BE6" w:rsidRDefault="00DE7BE6" w:rsidP="00DE7BE6">
      <w:pPr>
        <w:autoSpaceDE w:val="0"/>
        <w:autoSpaceDN w:val="0"/>
        <w:adjustRightInd w:val="0"/>
        <w:spacing w:after="0" w:line="240" w:lineRule="auto"/>
        <w:jc w:val="both"/>
        <w:rPr>
          <w:rFonts w:eastAsia="Times New Roman"/>
          <w:spacing w:val="0"/>
          <w:sz w:val="22"/>
          <w:szCs w:val="22"/>
        </w:rPr>
      </w:pPr>
    </w:p>
    <w:p w14:paraId="04DD17AA" w14:textId="532E2063" w:rsidR="00DE7BE6" w:rsidRDefault="00DE7BE6" w:rsidP="00DE7BE6">
      <w:pPr>
        <w:autoSpaceDE w:val="0"/>
        <w:autoSpaceDN w:val="0"/>
        <w:adjustRightInd w:val="0"/>
        <w:spacing w:after="0" w:line="240" w:lineRule="auto"/>
        <w:jc w:val="both"/>
        <w:rPr>
          <w:bCs/>
          <w:spacing w:val="0"/>
          <w:sz w:val="22"/>
          <w:szCs w:val="22"/>
        </w:rPr>
      </w:pPr>
      <w:r>
        <w:rPr>
          <w:rFonts w:eastAsia="Times New Roman"/>
          <w:spacing w:val="0"/>
          <w:sz w:val="22"/>
          <w:szCs w:val="22"/>
        </w:rPr>
        <w:t xml:space="preserve">It is important to note that </w:t>
      </w:r>
      <w:r w:rsidR="00C34947">
        <w:rPr>
          <w:rFonts w:eastAsia="Times New Roman"/>
          <w:spacing w:val="0"/>
          <w:sz w:val="22"/>
          <w:szCs w:val="22"/>
        </w:rPr>
        <w:t>some</w:t>
      </w:r>
      <w:r>
        <w:rPr>
          <w:rFonts w:eastAsia="Times New Roman"/>
          <w:spacing w:val="0"/>
          <w:sz w:val="22"/>
          <w:szCs w:val="22"/>
        </w:rPr>
        <w:t xml:space="preserve"> of these studies provide little information about the subjects, protocol for assessment, or other aspects of the study, not only making comparisons difficult but also making it difficult to critically examine the results. Furthermore, many studies have small subject numbers or restrict the assessments to only one or two muscle groups. </w:t>
      </w:r>
    </w:p>
    <w:p w14:paraId="30E18DDB" w14:textId="77777777" w:rsidR="00DE7BE6" w:rsidRDefault="00DE7BE6" w:rsidP="00DE7BE6">
      <w:pPr>
        <w:autoSpaceDE w:val="0"/>
        <w:autoSpaceDN w:val="0"/>
        <w:adjustRightInd w:val="0"/>
        <w:spacing w:after="0" w:line="240" w:lineRule="auto"/>
        <w:jc w:val="both"/>
        <w:rPr>
          <w:bCs/>
          <w:spacing w:val="0"/>
          <w:sz w:val="22"/>
          <w:szCs w:val="22"/>
        </w:rPr>
      </w:pPr>
    </w:p>
    <w:p w14:paraId="0DD343FC" w14:textId="75E738FD" w:rsidR="00DE7BE6" w:rsidRDefault="00DE7BE6" w:rsidP="00DE7BE6">
      <w:pPr>
        <w:autoSpaceDE w:val="0"/>
        <w:autoSpaceDN w:val="0"/>
        <w:adjustRightInd w:val="0"/>
        <w:spacing w:after="0" w:line="240" w:lineRule="auto"/>
        <w:jc w:val="both"/>
        <w:rPr>
          <w:bCs/>
          <w:spacing w:val="0"/>
          <w:sz w:val="22"/>
          <w:szCs w:val="22"/>
        </w:rPr>
      </w:pPr>
      <w:r w:rsidRPr="001D47EF">
        <w:rPr>
          <w:bCs/>
          <w:spacing w:val="0"/>
          <w:sz w:val="22"/>
          <w:szCs w:val="22"/>
        </w:rPr>
        <w:t>For any study using the M</w:t>
      </w:r>
      <w:r>
        <w:rPr>
          <w:bCs/>
          <w:spacing w:val="0"/>
          <w:sz w:val="22"/>
          <w:szCs w:val="22"/>
        </w:rPr>
        <w:t>TS</w:t>
      </w:r>
      <w:r w:rsidRPr="001D47EF">
        <w:rPr>
          <w:bCs/>
          <w:spacing w:val="0"/>
          <w:sz w:val="22"/>
          <w:szCs w:val="22"/>
        </w:rPr>
        <w:t xml:space="preserve">, it is critical that inclusion and exclusion criteria are clearly defined, a standardized protocol of how to assess a muscle group (patient &amp; limb position, number of times to repeat the measurement, speed, etc.) is utilized as well as precise definitions of the various scores be established. </w:t>
      </w:r>
    </w:p>
    <w:p w14:paraId="4282464F" w14:textId="77777777" w:rsidR="008D0D0C" w:rsidRDefault="008D0D0C" w:rsidP="00DE7BE6">
      <w:pPr>
        <w:autoSpaceDE w:val="0"/>
        <w:autoSpaceDN w:val="0"/>
        <w:adjustRightInd w:val="0"/>
        <w:spacing w:after="0" w:line="240" w:lineRule="auto"/>
        <w:jc w:val="both"/>
        <w:rPr>
          <w:bCs/>
          <w:spacing w:val="0"/>
          <w:sz w:val="22"/>
          <w:szCs w:val="22"/>
        </w:rPr>
      </w:pPr>
    </w:p>
    <w:p w14:paraId="0AF1CA09" w14:textId="78E06D65" w:rsidR="00E74AFD" w:rsidRDefault="00E74AFD" w:rsidP="00DE7BE6">
      <w:pPr>
        <w:autoSpaceDE w:val="0"/>
        <w:autoSpaceDN w:val="0"/>
        <w:adjustRightInd w:val="0"/>
        <w:spacing w:after="0" w:line="240" w:lineRule="auto"/>
        <w:jc w:val="both"/>
        <w:rPr>
          <w:bCs/>
          <w:spacing w:val="0"/>
          <w:sz w:val="22"/>
          <w:szCs w:val="22"/>
        </w:rPr>
      </w:pPr>
    </w:p>
    <w:p w14:paraId="48766F61" w14:textId="503F9070" w:rsidR="00E74AFD" w:rsidRDefault="00E74AFD" w:rsidP="00E74AFD">
      <w:pPr>
        <w:rPr>
          <w:rFonts w:ascii="Tahoma-Bold" w:hAnsi="Tahoma-Bold" w:cs="Tahoma-Bold"/>
          <w:b/>
          <w:bCs/>
          <w:sz w:val="22"/>
          <w:szCs w:val="22"/>
        </w:rPr>
      </w:pPr>
      <w:r>
        <w:rPr>
          <w:rFonts w:ascii="Tahoma-Bold" w:hAnsi="Tahoma-Bold" w:cs="Tahoma-Bold"/>
          <w:b/>
          <w:bCs/>
          <w:sz w:val="22"/>
          <w:szCs w:val="22"/>
        </w:rPr>
        <w:t>VALIDITY</w:t>
      </w:r>
      <w:r>
        <w:rPr>
          <w:rFonts w:ascii="Tahoma-Bold" w:hAnsi="Tahoma-Bold" w:cs="Tahoma-Bold"/>
          <w:b/>
          <w:bCs/>
          <w:sz w:val="22"/>
          <w:szCs w:val="22"/>
        </w:rPr>
        <w:t xml:space="preserve"> STUDIES WITH PEDIATRIC SUBJECTS:</w:t>
      </w:r>
    </w:p>
    <w:tbl>
      <w:tblPr>
        <w:tblStyle w:val="TableGrid"/>
        <w:tblW w:w="10710" w:type="dxa"/>
        <w:tblInd w:w="85" w:type="dxa"/>
        <w:tblLayout w:type="fixed"/>
        <w:tblLook w:val="04A0" w:firstRow="1" w:lastRow="0" w:firstColumn="1" w:lastColumn="0" w:noHBand="0" w:noVBand="1"/>
      </w:tblPr>
      <w:tblGrid>
        <w:gridCol w:w="2430"/>
        <w:gridCol w:w="2880"/>
        <w:gridCol w:w="5400"/>
      </w:tblGrid>
      <w:tr w:rsidR="00E74AFD" w:rsidRPr="009A50C4" w14:paraId="71C7F8C9" w14:textId="77777777" w:rsidTr="005B0923">
        <w:tc>
          <w:tcPr>
            <w:tcW w:w="2430" w:type="dxa"/>
          </w:tcPr>
          <w:p w14:paraId="2BBB800E" w14:textId="77777777" w:rsidR="00E74AFD" w:rsidRDefault="00E74AFD" w:rsidP="005B0923">
            <w:pPr>
              <w:jc w:val="center"/>
              <w:rPr>
                <w:rFonts w:ascii="Arial" w:hAnsi="Arial" w:cs="Arial"/>
                <w:b/>
              </w:rPr>
            </w:pPr>
            <w:r w:rsidRPr="009A50C4">
              <w:rPr>
                <w:rFonts w:ascii="Arial" w:hAnsi="Arial" w:cs="Arial"/>
                <w:b/>
              </w:rPr>
              <w:t>RESEARCH STUDY</w:t>
            </w:r>
          </w:p>
          <w:p w14:paraId="532C5900" w14:textId="77777777" w:rsidR="00E74AFD" w:rsidRPr="009A50C4" w:rsidRDefault="00E74AFD" w:rsidP="005B0923">
            <w:pPr>
              <w:jc w:val="center"/>
              <w:rPr>
                <w:rFonts w:ascii="Arial" w:hAnsi="Arial" w:cs="Arial"/>
                <w:b/>
              </w:rPr>
            </w:pPr>
            <w:r>
              <w:rPr>
                <w:rFonts w:ascii="Arial" w:hAnsi="Arial" w:cs="Arial"/>
                <w:b/>
              </w:rPr>
              <w:t>SUBJECTS</w:t>
            </w:r>
          </w:p>
        </w:tc>
        <w:tc>
          <w:tcPr>
            <w:tcW w:w="2880" w:type="dxa"/>
          </w:tcPr>
          <w:p w14:paraId="675F2C84" w14:textId="77777777" w:rsidR="00E74AFD" w:rsidRDefault="00E74AFD" w:rsidP="005B0923">
            <w:pPr>
              <w:jc w:val="center"/>
              <w:rPr>
                <w:rFonts w:ascii="Arial" w:hAnsi="Arial" w:cs="Arial"/>
                <w:b/>
              </w:rPr>
            </w:pPr>
            <w:r>
              <w:rPr>
                <w:rFonts w:ascii="Arial" w:hAnsi="Arial" w:cs="Arial"/>
                <w:b/>
              </w:rPr>
              <w:t>COMPARISONS/</w:t>
            </w:r>
          </w:p>
          <w:p w14:paraId="493BA3C9" w14:textId="77777777" w:rsidR="00E74AFD" w:rsidRPr="009A50C4" w:rsidRDefault="00E74AFD" w:rsidP="005B0923">
            <w:pPr>
              <w:jc w:val="center"/>
              <w:rPr>
                <w:rFonts w:ascii="Arial" w:hAnsi="Arial" w:cs="Arial"/>
                <w:b/>
              </w:rPr>
            </w:pPr>
            <w:r w:rsidRPr="009A50C4">
              <w:rPr>
                <w:rFonts w:ascii="Arial" w:hAnsi="Arial" w:cs="Arial"/>
                <w:b/>
              </w:rPr>
              <w:t>LABORATORY MEASURE</w:t>
            </w:r>
            <w:r>
              <w:rPr>
                <w:rFonts w:ascii="Arial" w:hAnsi="Arial" w:cs="Arial"/>
                <w:b/>
              </w:rPr>
              <w:t>S</w:t>
            </w:r>
          </w:p>
        </w:tc>
        <w:tc>
          <w:tcPr>
            <w:tcW w:w="5400" w:type="dxa"/>
          </w:tcPr>
          <w:p w14:paraId="10073C13" w14:textId="77777777" w:rsidR="00E74AFD" w:rsidRDefault="00E74AFD" w:rsidP="005B0923">
            <w:pPr>
              <w:jc w:val="center"/>
              <w:rPr>
                <w:rFonts w:ascii="Arial" w:hAnsi="Arial" w:cs="Arial"/>
                <w:b/>
              </w:rPr>
            </w:pPr>
            <w:r w:rsidRPr="009A50C4">
              <w:rPr>
                <w:rFonts w:ascii="Arial" w:hAnsi="Arial" w:cs="Arial"/>
                <w:b/>
              </w:rPr>
              <w:t>RESULT</w:t>
            </w:r>
            <w:r>
              <w:rPr>
                <w:rFonts w:ascii="Arial" w:hAnsi="Arial" w:cs="Arial"/>
                <w:b/>
              </w:rPr>
              <w:t>S/</w:t>
            </w:r>
          </w:p>
          <w:p w14:paraId="00986785" w14:textId="77777777" w:rsidR="00E74AFD" w:rsidRPr="009A50C4" w:rsidRDefault="00E74AFD" w:rsidP="005B0923">
            <w:pPr>
              <w:jc w:val="center"/>
              <w:rPr>
                <w:rFonts w:ascii="Arial" w:hAnsi="Arial" w:cs="Arial"/>
                <w:b/>
              </w:rPr>
            </w:pPr>
            <w:r w:rsidRPr="009A50C4">
              <w:rPr>
                <w:rFonts w:ascii="Arial" w:hAnsi="Arial" w:cs="Arial"/>
                <w:b/>
              </w:rPr>
              <w:t>CONCLUSION</w:t>
            </w:r>
          </w:p>
        </w:tc>
      </w:tr>
      <w:tr w:rsidR="00E74AFD" w:rsidRPr="00496D27" w14:paraId="24D59E23" w14:textId="77777777" w:rsidTr="005B0923">
        <w:tc>
          <w:tcPr>
            <w:tcW w:w="2430" w:type="dxa"/>
          </w:tcPr>
          <w:p w14:paraId="1FA01BF4" w14:textId="322078B6" w:rsidR="00E74AFD" w:rsidRPr="00496D27" w:rsidRDefault="00E74AFD" w:rsidP="005B0923">
            <w:pPr>
              <w:rPr>
                <w:rFonts w:ascii="Arial" w:hAnsi="Arial" w:cs="Arial"/>
                <w:b/>
              </w:rPr>
            </w:pPr>
            <w:r w:rsidRPr="00496D27">
              <w:rPr>
                <w:rFonts w:ascii="Arial" w:hAnsi="Arial" w:cs="Arial"/>
                <w:b/>
              </w:rPr>
              <w:t>Alhusaini et al. (2010)</w:t>
            </w:r>
          </w:p>
          <w:p w14:paraId="5C5D1211" w14:textId="77777777" w:rsidR="00E74AFD" w:rsidRPr="00496D27" w:rsidRDefault="00E74AFD" w:rsidP="005B0923">
            <w:pPr>
              <w:rPr>
                <w:rFonts w:ascii="Arial" w:hAnsi="Arial" w:cs="Arial"/>
                <w:b/>
              </w:rPr>
            </w:pPr>
          </w:p>
          <w:p w14:paraId="798AF961" w14:textId="77777777" w:rsidR="00E74AFD" w:rsidRPr="00496D27" w:rsidRDefault="00E74AFD" w:rsidP="005B0923">
            <w:pPr>
              <w:rPr>
                <w:rFonts w:ascii="Arial" w:hAnsi="Arial" w:cs="Arial"/>
              </w:rPr>
            </w:pPr>
            <w:r w:rsidRPr="00496D27">
              <w:rPr>
                <w:rFonts w:ascii="Arial" w:hAnsi="Arial" w:cs="Arial"/>
              </w:rPr>
              <w:t>1 Lower limb muscle group (Plantar flexors)</w:t>
            </w:r>
          </w:p>
          <w:p w14:paraId="638DEAF5" w14:textId="77777777" w:rsidR="00E74AFD" w:rsidRPr="00496D27" w:rsidRDefault="00E74AFD" w:rsidP="005B0923">
            <w:pPr>
              <w:rPr>
                <w:rFonts w:ascii="Arial" w:hAnsi="Arial" w:cs="Arial"/>
              </w:rPr>
            </w:pPr>
          </w:p>
          <w:p w14:paraId="567BA86C" w14:textId="77777777" w:rsidR="00E74AFD" w:rsidRPr="00496D27" w:rsidRDefault="00E74AFD" w:rsidP="005B0923">
            <w:pPr>
              <w:rPr>
                <w:rFonts w:ascii="Arial" w:hAnsi="Arial" w:cs="Arial"/>
              </w:rPr>
            </w:pPr>
            <w:r w:rsidRPr="00496D27">
              <w:rPr>
                <w:rFonts w:ascii="Arial" w:hAnsi="Arial" w:cs="Arial"/>
              </w:rPr>
              <w:t xml:space="preserve">Content validity </w:t>
            </w:r>
          </w:p>
          <w:p w14:paraId="60F914E5" w14:textId="77777777" w:rsidR="00E74AFD" w:rsidRPr="00496D27" w:rsidRDefault="00E74AFD" w:rsidP="005B0923">
            <w:pPr>
              <w:rPr>
                <w:rFonts w:ascii="Arial" w:hAnsi="Arial" w:cs="Arial"/>
              </w:rPr>
            </w:pPr>
            <w:r w:rsidRPr="00496D27">
              <w:rPr>
                <w:rFonts w:ascii="Arial" w:hAnsi="Arial" w:cs="Arial"/>
              </w:rPr>
              <w:t>Ashworth Scale vs Tardieu Scale</w:t>
            </w:r>
          </w:p>
          <w:p w14:paraId="4EA370FA" w14:textId="77777777" w:rsidR="00E74AFD" w:rsidRPr="00496D27" w:rsidRDefault="00E74AFD" w:rsidP="005B0923">
            <w:pPr>
              <w:ind w:left="252"/>
              <w:rPr>
                <w:rFonts w:ascii="Arial" w:hAnsi="Arial" w:cs="Arial"/>
              </w:rPr>
            </w:pPr>
          </w:p>
          <w:p w14:paraId="6F321437" w14:textId="77777777" w:rsidR="00E74AFD" w:rsidRPr="00496D27" w:rsidRDefault="00E74AFD" w:rsidP="005B0923">
            <w:pPr>
              <w:rPr>
                <w:rFonts w:ascii="Arial" w:hAnsi="Arial" w:cs="Arial"/>
              </w:rPr>
            </w:pPr>
            <w:r w:rsidRPr="00496D27">
              <w:rPr>
                <w:rFonts w:ascii="Arial" w:hAnsi="Arial" w:cs="Arial"/>
              </w:rPr>
              <w:t>N=27 Children with CP</w:t>
            </w:r>
          </w:p>
        </w:tc>
        <w:tc>
          <w:tcPr>
            <w:tcW w:w="2880" w:type="dxa"/>
          </w:tcPr>
          <w:p w14:paraId="6F3E634F" w14:textId="77777777" w:rsidR="00E74AFD" w:rsidRPr="00496D27" w:rsidRDefault="00E74AFD" w:rsidP="005B0923">
            <w:pPr>
              <w:rPr>
                <w:rFonts w:ascii="Arial" w:hAnsi="Arial" w:cs="Arial"/>
              </w:rPr>
            </w:pPr>
            <w:r w:rsidRPr="00496D27">
              <w:rPr>
                <w:rFonts w:ascii="Arial" w:hAnsi="Arial" w:cs="Arial"/>
              </w:rPr>
              <w:t>Ashworth Scale and Tardieu Scale compared to laboratory measures (</w:t>
            </w:r>
            <w:r w:rsidRPr="00496D27">
              <w:rPr>
                <w:rFonts w:ascii="Arial" w:eastAsia="Times New Roman" w:hAnsi="Arial" w:cs="Arial"/>
                <w:color w:val="0A0A0A"/>
                <w:lang w:val="en"/>
              </w:rPr>
              <w:t>stretch-induced electromyographic activity)</w:t>
            </w:r>
            <w:r w:rsidRPr="00496D27">
              <w:rPr>
                <w:rFonts w:ascii="Arial" w:hAnsi="Arial" w:cs="Arial"/>
              </w:rPr>
              <w:t xml:space="preserve"> of spasticity and contracture.</w:t>
            </w:r>
          </w:p>
        </w:tc>
        <w:tc>
          <w:tcPr>
            <w:tcW w:w="5400" w:type="dxa"/>
          </w:tcPr>
          <w:p w14:paraId="4774CC1A" w14:textId="77777777" w:rsidR="00E74AFD" w:rsidRPr="00496D27" w:rsidRDefault="00E74AFD" w:rsidP="005B0923">
            <w:pPr>
              <w:autoSpaceDE w:val="0"/>
              <w:autoSpaceDN w:val="0"/>
              <w:rPr>
                <w:rFonts w:ascii="Arial" w:hAnsi="Arial" w:cs="Arial"/>
              </w:rPr>
            </w:pPr>
            <w:r w:rsidRPr="00496D27">
              <w:rPr>
                <w:rFonts w:ascii="Arial" w:hAnsi="Arial" w:cs="Arial"/>
              </w:rPr>
              <w:t>Compared to laboratory measures, the Tardieu Scale was more effective than the Ashworth Scale in identifying the presence of spasticity (88.9% PEA, к=0.73), the presence of contracture (77.8% PEA, к=0.503), and the severity of contracture (r=0.49).  However, neither scale was able to identify the severity of spasticity.</w:t>
            </w:r>
          </w:p>
          <w:p w14:paraId="66C6EBC4" w14:textId="77777777" w:rsidR="00E74AFD" w:rsidRPr="00496D27" w:rsidRDefault="00E74AFD" w:rsidP="005B0923">
            <w:pPr>
              <w:autoSpaceDE w:val="0"/>
              <w:autoSpaceDN w:val="0"/>
              <w:rPr>
                <w:rFonts w:ascii="Arial" w:hAnsi="Arial" w:cs="Arial"/>
              </w:rPr>
            </w:pPr>
          </w:p>
          <w:p w14:paraId="784FB4BD" w14:textId="77777777" w:rsidR="00E74AFD" w:rsidRPr="00496D27" w:rsidRDefault="00E74AFD" w:rsidP="005B0923">
            <w:pPr>
              <w:numPr>
                <w:ilvl w:val="1"/>
                <w:numId w:val="6"/>
              </w:numPr>
              <w:autoSpaceDE w:val="0"/>
              <w:autoSpaceDN w:val="0"/>
              <w:ind w:left="0" w:right="-290"/>
              <w:jc w:val="both"/>
              <w:rPr>
                <w:rFonts w:ascii="Arial" w:hAnsi="Arial" w:cs="Arial"/>
              </w:rPr>
            </w:pPr>
          </w:p>
        </w:tc>
      </w:tr>
      <w:tr w:rsidR="009806E8" w:rsidRPr="00496D27" w14:paraId="24522780" w14:textId="77777777" w:rsidTr="005B0923">
        <w:tc>
          <w:tcPr>
            <w:tcW w:w="2430" w:type="dxa"/>
          </w:tcPr>
          <w:p w14:paraId="67B6DC71" w14:textId="77777777" w:rsidR="009806E8" w:rsidRPr="00496D27" w:rsidRDefault="009806E8" w:rsidP="009806E8">
            <w:pPr>
              <w:rPr>
                <w:rFonts w:ascii="Arial" w:hAnsi="Arial" w:cs="Arial"/>
                <w:b/>
              </w:rPr>
            </w:pPr>
            <w:r w:rsidRPr="00496D27">
              <w:rPr>
                <w:rFonts w:ascii="Arial" w:hAnsi="Arial" w:cs="Arial"/>
                <w:b/>
              </w:rPr>
              <w:t>Bar-On et al. (2014)</w:t>
            </w:r>
          </w:p>
          <w:p w14:paraId="6D33C6A5" w14:textId="77777777" w:rsidR="009806E8" w:rsidRPr="00496D27" w:rsidRDefault="009806E8" w:rsidP="009806E8">
            <w:pPr>
              <w:rPr>
                <w:rFonts w:ascii="Arial" w:hAnsi="Arial" w:cs="Arial"/>
                <w:b/>
              </w:rPr>
            </w:pPr>
          </w:p>
          <w:p w14:paraId="7658A1D9" w14:textId="77777777" w:rsidR="009806E8" w:rsidRPr="00496D27" w:rsidRDefault="009806E8" w:rsidP="009806E8">
            <w:pPr>
              <w:shd w:val="clear" w:color="auto" w:fill="FFFFFF"/>
              <w:rPr>
                <w:rFonts w:ascii="Arial" w:eastAsia="Times New Roman" w:hAnsi="Arial" w:cs="Arial"/>
              </w:rPr>
            </w:pPr>
            <w:r w:rsidRPr="00496D27">
              <w:rPr>
                <w:rFonts w:ascii="Arial" w:eastAsia="Times New Roman" w:hAnsi="Arial" w:cs="Arial"/>
              </w:rPr>
              <w:t>1 Lower limb muscle group (medial hamstrings)</w:t>
            </w:r>
          </w:p>
          <w:p w14:paraId="4145F00D" w14:textId="77777777" w:rsidR="009806E8" w:rsidRPr="00496D27" w:rsidRDefault="009806E8" w:rsidP="009806E8">
            <w:pPr>
              <w:rPr>
                <w:rFonts w:ascii="Arial" w:hAnsi="Arial" w:cs="Arial"/>
              </w:rPr>
            </w:pPr>
          </w:p>
          <w:p w14:paraId="3317040E" w14:textId="77777777" w:rsidR="009806E8" w:rsidRPr="00496D27" w:rsidRDefault="009806E8" w:rsidP="009806E8">
            <w:pPr>
              <w:rPr>
                <w:rFonts w:ascii="Arial" w:hAnsi="Arial" w:cs="Arial"/>
              </w:rPr>
            </w:pPr>
            <w:r w:rsidRPr="00496D27">
              <w:rPr>
                <w:rFonts w:ascii="Arial" w:hAnsi="Arial" w:cs="Arial"/>
              </w:rPr>
              <w:t>Responsiveness</w:t>
            </w:r>
          </w:p>
          <w:p w14:paraId="1503650E" w14:textId="77777777" w:rsidR="009806E8" w:rsidRPr="00496D27" w:rsidRDefault="009806E8" w:rsidP="009806E8">
            <w:pPr>
              <w:rPr>
                <w:rFonts w:ascii="Arial" w:hAnsi="Arial" w:cs="Arial"/>
              </w:rPr>
            </w:pPr>
            <w:r w:rsidRPr="00496D27">
              <w:rPr>
                <w:rFonts w:ascii="Arial" w:hAnsi="Arial" w:cs="Arial"/>
              </w:rPr>
              <w:t>Predictive ability</w:t>
            </w:r>
          </w:p>
          <w:p w14:paraId="3E488701" w14:textId="77777777" w:rsidR="009806E8" w:rsidRPr="00496D27" w:rsidRDefault="009806E8" w:rsidP="009806E8">
            <w:pPr>
              <w:rPr>
                <w:rFonts w:ascii="Arial" w:hAnsi="Arial" w:cs="Arial"/>
              </w:rPr>
            </w:pPr>
            <w:r w:rsidRPr="00496D27">
              <w:rPr>
                <w:rFonts w:ascii="Arial" w:hAnsi="Arial" w:cs="Arial"/>
              </w:rPr>
              <w:t>MAS vs MTS</w:t>
            </w:r>
          </w:p>
          <w:p w14:paraId="7F6FFEB0" w14:textId="77777777" w:rsidR="009806E8" w:rsidRPr="00496D27" w:rsidRDefault="009806E8" w:rsidP="009806E8">
            <w:pPr>
              <w:rPr>
                <w:rFonts w:ascii="Arial" w:hAnsi="Arial" w:cs="Arial"/>
              </w:rPr>
            </w:pPr>
          </w:p>
          <w:p w14:paraId="068A912A" w14:textId="77777777" w:rsidR="009806E8" w:rsidRPr="00496D27" w:rsidRDefault="009806E8" w:rsidP="009806E8">
            <w:pPr>
              <w:rPr>
                <w:rFonts w:ascii="Arial" w:hAnsi="Arial" w:cs="Arial"/>
              </w:rPr>
            </w:pPr>
            <w:r w:rsidRPr="00496D27">
              <w:rPr>
                <w:rFonts w:ascii="Arial" w:hAnsi="Arial" w:cs="Arial"/>
              </w:rPr>
              <w:t>N=31 Children with CP</w:t>
            </w:r>
          </w:p>
          <w:p w14:paraId="25BD03C4" w14:textId="77777777" w:rsidR="009806E8" w:rsidRDefault="009806E8" w:rsidP="009806E8">
            <w:pPr>
              <w:rPr>
                <w:b/>
              </w:rPr>
            </w:pPr>
          </w:p>
        </w:tc>
        <w:tc>
          <w:tcPr>
            <w:tcW w:w="2880" w:type="dxa"/>
          </w:tcPr>
          <w:p w14:paraId="5F463810" w14:textId="54F814F0" w:rsidR="009806E8" w:rsidRPr="00496D27" w:rsidRDefault="009806E8" w:rsidP="009806E8">
            <w:r w:rsidRPr="00496D27">
              <w:rPr>
                <w:rFonts w:ascii="Arial" w:hAnsi="Arial" w:cs="Arial"/>
              </w:rPr>
              <w:t>Comparison of clinical scales (MAS &amp; MTS) and instrumented spasticity assessments both biomechanical (position &amp; torque) and electrophysiological (surface electromyography) after BTX treatment and casting.</w:t>
            </w:r>
          </w:p>
        </w:tc>
        <w:tc>
          <w:tcPr>
            <w:tcW w:w="5400" w:type="dxa"/>
          </w:tcPr>
          <w:p w14:paraId="698C5E77" w14:textId="77777777" w:rsidR="009806E8" w:rsidRPr="00496D27" w:rsidRDefault="009806E8" w:rsidP="009806E8">
            <w:pPr>
              <w:autoSpaceDE w:val="0"/>
              <w:autoSpaceDN w:val="0"/>
              <w:adjustRightInd w:val="0"/>
              <w:rPr>
                <w:rFonts w:ascii="Arial" w:hAnsi="Arial" w:cs="Arial"/>
              </w:rPr>
            </w:pPr>
            <w:r w:rsidRPr="00496D27">
              <w:rPr>
                <w:rFonts w:ascii="Arial" w:hAnsi="Arial" w:cs="Arial"/>
              </w:rPr>
              <w:t>Both clinical &amp; instrumented parameters improved post-BTX,</w:t>
            </w:r>
            <w:r>
              <w:rPr>
                <w:rFonts w:ascii="Arial" w:hAnsi="Arial" w:cs="Arial"/>
              </w:rPr>
              <w:t xml:space="preserve"> </w:t>
            </w:r>
            <w:r w:rsidRPr="00496D27">
              <w:rPr>
                <w:rFonts w:ascii="Arial" w:hAnsi="Arial" w:cs="Arial"/>
              </w:rPr>
              <w:t>but showed a low percentage exact agreement.</w:t>
            </w:r>
          </w:p>
          <w:p w14:paraId="4910D9CA" w14:textId="77777777" w:rsidR="009806E8" w:rsidRPr="00496D27" w:rsidRDefault="009806E8" w:rsidP="009806E8">
            <w:pPr>
              <w:autoSpaceDE w:val="0"/>
              <w:autoSpaceDN w:val="0"/>
              <w:adjustRightInd w:val="0"/>
              <w:rPr>
                <w:rFonts w:ascii="Arial" w:hAnsi="Arial" w:cs="Arial"/>
              </w:rPr>
            </w:pPr>
          </w:p>
          <w:p w14:paraId="267FFD11" w14:textId="77777777" w:rsidR="009806E8" w:rsidRPr="00496D27" w:rsidRDefault="009806E8" w:rsidP="009806E8">
            <w:pPr>
              <w:autoSpaceDE w:val="0"/>
              <w:autoSpaceDN w:val="0"/>
              <w:adjustRightInd w:val="0"/>
              <w:rPr>
                <w:rFonts w:ascii="Arial" w:hAnsi="Arial" w:cs="Arial"/>
              </w:rPr>
            </w:pPr>
            <w:r w:rsidRPr="00496D27">
              <w:rPr>
                <w:rFonts w:ascii="Arial" w:hAnsi="Arial" w:cs="Arial"/>
              </w:rPr>
              <w:t>However, the MTS identified 12 responders compared to 25 responders identified by instrumented parameters.</w:t>
            </w:r>
          </w:p>
          <w:p w14:paraId="171C311F" w14:textId="77777777" w:rsidR="009806E8" w:rsidRPr="00496D27" w:rsidRDefault="009806E8" w:rsidP="009806E8">
            <w:pPr>
              <w:autoSpaceDE w:val="0"/>
              <w:autoSpaceDN w:val="0"/>
              <w:adjustRightInd w:val="0"/>
              <w:rPr>
                <w:rFonts w:ascii="Arial" w:hAnsi="Arial" w:cs="Arial"/>
              </w:rPr>
            </w:pPr>
          </w:p>
          <w:p w14:paraId="2F9531BA" w14:textId="77777777" w:rsidR="009806E8" w:rsidRPr="00496D27" w:rsidRDefault="009806E8" w:rsidP="009806E8">
            <w:pPr>
              <w:autoSpaceDE w:val="0"/>
              <w:autoSpaceDN w:val="0"/>
              <w:adjustRightInd w:val="0"/>
              <w:rPr>
                <w:rFonts w:ascii="Arial" w:hAnsi="Arial" w:cs="Arial"/>
              </w:rPr>
            </w:pPr>
            <w:r w:rsidRPr="00496D27">
              <w:rPr>
                <w:rFonts w:ascii="Arial" w:hAnsi="Arial" w:cs="Arial"/>
              </w:rPr>
              <w:t>Responsiveness: Detection ability: Compared with the instrumented parameters, both clinical scales were less sensitive than the instrumented assessments to detect change in spasticity.</w:t>
            </w:r>
          </w:p>
          <w:p w14:paraId="09A180A5" w14:textId="77777777" w:rsidR="009806E8" w:rsidRPr="00496D27" w:rsidRDefault="009806E8" w:rsidP="009806E8">
            <w:pPr>
              <w:autoSpaceDE w:val="0"/>
              <w:autoSpaceDN w:val="0"/>
              <w:adjustRightInd w:val="0"/>
              <w:rPr>
                <w:rFonts w:ascii="Arial" w:hAnsi="Arial" w:cs="Arial"/>
              </w:rPr>
            </w:pPr>
          </w:p>
          <w:p w14:paraId="13D0E5C7" w14:textId="77777777" w:rsidR="009806E8" w:rsidRPr="00496D27" w:rsidRDefault="009806E8" w:rsidP="009806E8">
            <w:pPr>
              <w:autoSpaceDE w:val="0"/>
              <w:autoSpaceDN w:val="0"/>
              <w:rPr>
                <w:rFonts w:ascii="Arial" w:hAnsi="Arial" w:cs="Arial"/>
              </w:rPr>
            </w:pPr>
            <w:r w:rsidRPr="00496D27">
              <w:rPr>
                <w:rFonts w:ascii="Arial" w:hAnsi="Arial" w:cs="Arial"/>
              </w:rPr>
              <w:t xml:space="preserve">Both the MTS and MAS showed no predictive ability. </w:t>
            </w:r>
          </w:p>
          <w:p w14:paraId="500BC0BC" w14:textId="77777777" w:rsidR="009806E8" w:rsidRPr="00496D27" w:rsidRDefault="009806E8" w:rsidP="009806E8">
            <w:pPr>
              <w:autoSpaceDE w:val="0"/>
              <w:autoSpaceDN w:val="0"/>
              <w:rPr>
                <w:rFonts w:ascii="Arial" w:hAnsi="Arial" w:cs="Arial"/>
              </w:rPr>
            </w:pPr>
          </w:p>
          <w:p w14:paraId="23E1B10E" w14:textId="6DEDC409" w:rsidR="009806E8" w:rsidRPr="00496D27" w:rsidRDefault="009806E8" w:rsidP="009806E8">
            <w:pPr>
              <w:autoSpaceDE w:val="0"/>
              <w:autoSpaceDN w:val="0"/>
            </w:pPr>
            <w:r w:rsidRPr="00496D27">
              <w:rPr>
                <w:rFonts w:ascii="Arial" w:hAnsi="Arial" w:cs="Arial"/>
              </w:rPr>
              <w:t>Intra-rater reliability ICC for the MTS was 0.82 compared to the ICC for the MAS of 0.59.</w:t>
            </w:r>
          </w:p>
        </w:tc>
      </w:tr>
      <w:tr w:rsidR="009806E8" w:rsidRPr="00496D27" w14:paraId="15E0817D" w14:textId="77777777" w:rsidTr="005B0923">
        <w:tc>
          <w:tcPr>
            <w:tcW w:w="2430" w:type="dxa"/>
          </w:tcPr>
          <w:p w14:paraId="238B92BF" w14:textId="77777777" w:rsidR="008D0D0C" w:rsidRPr="00496D27" w:rsidRDefault="008D0D0C" w:rsidP="008D0D0C">
            <w:pPr>
              <w:rPr>
                <w:rFonts w:ascii="Arial" w:hAnsi="Arial" w:cs="Arial"/>
                <w:b/>
              </w:rPr>
            </w:pPr>
            <w:r w:rsidRPr="00496D27">
              <w:rPr>
                <w:rFonts w:ascii="Arial" w:hAnsi="Arial" w:cs="Arial"/>
                <w:b/>
              </w:rPr>
              <w:t>Boyd et al. (1998)</w:t>
            </w:r>
          </w:p>
          <w:p w14:paraId="3C896734" w14:textId="77777777" w:rsidR="008D0D0C" w:rsidRPr="00496D27" w:rsidRDefault="008D0D0C" w:rsidP="008D0D0C">
            <w:pPr>
              <w:rPr>
                <w:rFonts w:ascii="Arial" w:hAnsi="Arial" w:cs="Arial"/>
                <w:b/>
              </w:rPr>
            </w:pPr>
          </w:p>
          <w:p w14:paraId="7E490A1B" w14:textId="77777777" w:rsidR="008D0D0C" w:rsidRPr="00496D27" w:rsidRDefault="008D0D0C" w:rsidP="008D0D0C">
            <w:pPr>
              <w:rPr>
                <w:rFonts w:ascii="Arial" w:hAnsi="Arial" w:cs="Arial"/>
              </w:rPr>
            </w:pPr>
            <w:r w:rsidRPr="00496D27">
              <w:rPr>
                <w:rFonts w:ascii="Arial" w:hAnsi="Arial" w:cs="Arial"/>
              </w:rPr>
              <w:t>1 Lower limb muscle group</w:t>
            </w:r>
          </w:p>
          <w:p w14:paraId="5315B44E" w14:textId="77777777" w:rsidR="008D0D0C" w:rsidRPr="00496D27" w:rsidRDefault="008D0D0C" w:rsidP="008D0D0C">
            <w:pPr>
              <w:rPr>
                <w:rFonts w:ascii="Arial" w:hAnsi="Arial" w:cs="Arial"/>
              </w:rPr>
            </w:pPr>
          </w:p>
          <w:p w14:paraId="02B2EFFA" w14:textId="77777777" w:rsidR="008D0D0C" w:rsidRPr="00496D27" w:rsidRDefault="008D0D0C" w:rsidP="008D0D0C">
            <w:pPr>
              <w:rPr>
                <w:rFonts w:ascii="Arial" w:hAnsi="Arial" w:cs="Arial"/>
              </w:rPr>
            </w:pPr>
            <w:r w:rsidRPr="00496D27">
              <w:rPr>
                <w:rFonts w:ascii="Arial" w:hAnsi="Arial" w:cs="Arial"/>
              </w:rPr>
              <w:t>Validity: Sensitivity to Change</w:t>
            </w:r>
          </w:p>
          <w:p w14:paraId="25AD02EB" w14:textId="77777777" w:rsidR="008D0D0C" w:rsidRPr="00496D27" w:rsidRDefault="008D0D0C" w:rsidP="008D0D0C">
            <w:pPr>
              <w:rPr>
                <w:rFonts w:ascii="Arial" w:hAnsi="Arial" w:cs="Arial"/>
              </w:rPr>
            </w:pPr>
            <w:r w:rsidRPr="00496D27">
              <w:rPr>
                <w:rFonts w:ascii="Arial" w:hAnsi="Arial" w:cs="Arial"/>
              </w:rPr>
              <w:t>MTS vs Ashworth</w:t>
            </w:r>
          </w:p>
          <w:p w14:paraId="7955B495" w14:textId="77777777" w:rsidR="008D0D0C" w:rsidRPr="00496D27" w:rsidRDefault="008D0D0C" w:rsidP="008D0D0C">
            <w:pPr>
              <w:rPr>
                <w:rFonts w:ascii="Arial" w:hAnsi="Arial" w:cs="Arial"/>
              </w:rPr>
            </w:pPr>
          </w:p>
          <w:p w14:paraId="67FDA659" w14:textId="77777777" w:rsidR="008D0D0C" w:rsidRPr="00496D27" w:rsidRDefault="008D0D0C" w:rsidP="008D0D0C">
            <w:pPr>
              <w:rPr>
                <w:rFonts w:ascii="Arial" w:hAnsi="Arial" w:cs="Arial"/>
              </w:rPr>
            </w:pPr>
            <w:r w:rsidRPr="00496D27">
              <w:rPr>
                <w:rFonts w:ascii="Arial" w:hAnsi="Arial" w:cs="Arial"/>
              </w:rPr>
              <w:t>N=16 Children with CP.</w:t>
            </w:r>
          </w:p>
          <w:p w14:paraId="08E385AB" w14:textId="77777777" w:rsidR="008D0D0C" w:rsidRPr="00496D27" w:rsidRDefault="008D0D0C" w:rsidP="008D0D0C">
            <w:pPr>
              <w:rPr>
                <w:rFonts w:ascii="Arial" w:hAnsi="Arial" w:cs="Arial"/>
                <w:b/>
              </w:rPr>
            </w:pPr>
            <w:r w:rsidRPr="00496D27">
              <w:rPr>
                <w:rFonts w:ascii="Arial" w:hAnsi="Arial" w:cs="Arial"/>
              </w:rPr>
              <w:lastRenderedPageBreak/>
              <w:t>Subjects with combinations of adductor spasticity and contracture were scheduled to receive BTX-A to the adductors (n=8) or saline (n=8).</w:t>
            </w:r>
          </w:p>
          <w:p w14:paraId="1A8377D7" w14:textId="77777777" w:rsidR="009806E8" w:rsidRDefault="009806E8" w:rsidP="009806E8">
            <w:pPr>
              <w:rPr>
                <w:b/>
              </w:rPr>
            </w:pPr>
          </w:p>
        </w:tc>
        <w:tc>
          <w:tcPr>
            <w:tcW w:w="2880" w:type="dxa"/>
          </w:tcPr>
          <w:p w14:paraId="3CAE6711" w14:textId="77777777" w:rsidR="008D0D0C" w:rsidRPr="00496D27" w:rsidRDefault="008D0D0C" w:rsidP="008D0D0C">
            <w:pPr>
              <w:rPr>
                <w:rFonts w:ascii="Arial" w:hAnsi="Arial" w:cs="Arial"/>
              </w:rPr>
            </w:pPr>
            <w:r w:rsidRPr="00496D27">
              <w:rPr>
                <w:rFonts w:ascii="Arial" w:hAnsi="Arial" w:cs="Arial"/>
              </w:rPr>
              <w:lastRenderedPageBreak/>
              <w:t>Examination of the validity of an adapted version of the Tardieu Scale compared to the Ashworth Scale to quantify spasticity in children with CP.</w:t>
            </w:r>
          </w:p>
          <w:p w14:paraId="09B4D5AA" w14:textId="77777777" w:rsidR="008D0D0C" w:rsidRPr="00496D27" w:rsidRDefault="008D0D0C" w:rsidP="008D0D0C">
            <w:pPr>
              <w:rPr>
                <w:rFonts w:ascii="Arial" w:hAnsi="Arial" w:cs="Arial"/>
              </w:rPr>
            </w:pPr>
          </w:p>
          <w:p w14:paraId="7975901B" w14:textId="77777777" w:rsidR="008D0D0C" w:rsidRPr="00496D27" w:rsidRDefault="008D0D0C" w:rsidP="008D0D0C">
            <w:pPr>
              <w:rPr>
                <w:rFonts w:ascii="Arial" w:hAnsi="Arial" w:cs="Arial"/>
              </w:rPr>
            </w:pPr>
            <w:r w:rsidRPr="00496D27">
              <w:rPr>
                <w:rFonts w:ascii="Arial" w:hAnsi="Arial" w:cs="Arial"/>
              </w:rPr>
              <w:t xml:space="preserve">The measures of spasticity were tested in the context of a randomized double-blind placebo controlled clinical trial </w:t>
            </w:r>
            <w:r w:rsidRPr="00496D27">
              <w:rPr>
                <w:rFonts w:ascii="Arial" w:hAnsi="Arial" w:cs="Arial"/>
              </w:rPr>
              <w:lastRenderedPageBreak/>
              <w:t>that was being performed for another reason.</w:t>
            </w:r>
          </w:p>
          <w:p w14:paraId="2E26423D" w14:textId="77777777" w:rsidR="008D0D0C" w:rsidRPr="00496D27" w:rsidRDefault="008D0D0C" w:rsidP="008D0D0C">
            <w:pPr>
              <w:rPr>
                <w:rFonts w:ascii="Arial" w:hAnsi="Arial" w:cs="Arial"/>
              </w:rPr>
            </w:pPr>
          </w:p>
          <w:p w14:paraId="409945AD" w14:textId="0CC7DD54" w:rsidR="009806E8" w:rsidRPr="00496D27" w:rsidRDefault="008D0D0C" w:rsidP="008D0D0C">
            <w:r w:rsidRPr="00496D27">
              <w:rPr>
                <w:rFonts w:ascii="Arial" w:hAnsi="Arial" w:cs="Arial"/>
              </w:rPr>
              <w:t>One blinded assessor assessed children prior and one</w:t>
            </w:r>
            <w:r>
              <w:rPr>
                <w:rFonts w:ascii="Arial" w:hAnsi="Arial" w:cs="Arial"/>
              </w:rPr>
              <w:t>-</w:t>
            </w:r>
            <w:r w:rsidRPr="00496D27">
              <w:rPr>
                <w:rFonts w:ascii="Arial" w:hAnsi="Arial" w:cs="Arial"/>
              </w:rPr>
              <w:t>week post and judged whether the child had received BTX-A or saline based on the Tardieu measure. Parents recorded their impressions independently.</w:t>
            </w:r>
          </w:p>
        </w:tc>
        <w:tc>
          <w:tcPr>
            <w:tcW w:w="5400" w:type="dxa"/>
          </w:tcPr>
          <w:p w14:paraId="02CC6DC7" w14:textId="77777777" w:rsidR="008D0D0C" w:rsidRPr="00496D27" w:rsidRDefault="008D0D0C" w:rsidP="008D0D0C">
            <w:pPr>
              <w:autoSpaceDE w:val="0"/>
              <w:autoSpaceDN w:val="0"/>
              <w:rPr>
                <w:rFonts w:ascii="Arial" w:hAnsi="Arial" w:cs="Arial"/>
              </w:rPr>
            </w:pPr>
            <w:r w:rsidRPr="00496D27">
              <w:rPr>
                <w:rFonts w:ascii="Arial" w:hAnsi="Arial" w:cs="Arial"/>
              </w:rPr>
              <w:lastRenderedPageBreak/>
              <w:t>The physiotherapist correctly judged 14 of 16 subjects’ treatment (seven of eight BTX-A group, seven of eight placebo group) and the parents judged 11 of 16 (four of eight in the BTX-A group, seven of eight in the placebo group).</w:t>
            </w:r>
          </w:p>
          <w:p w14:paraId="779C11F4" w14:textId="77777777" w:rsidR="008D0D0C" w:rsidRPr="00496D27" w:rsidRDefault="008D0D0C" w:rsidP="008D0D0C">
            <w:pPr>
              <w:autoSpaceDE w:val="0"/>
              <w:autoSpaceDN w:val="0"/>
              <w:rPr>
                <w:rFonts w:ascii="Arial" w:hAnsi="Arial" w:cs="Arial"/>
              </w:rPr>
            </w:pPr>
          </w:p>
          <w:p w14:paraId="3969B35B" w14:textId="77777777" w:rsidR="008D0D0C" w:rsidRPr="00496D27" w:rsidRDefault="008D0D0C" w:rsidP="008D0D0C">
            <w:pPr>
              <w:autoSpaceDE w:val="0"/>
              <w:autoSpaceDN w:val="0"/>
              <w:rPr>
                <w:rFonts w:ascii="Arial" w:hAnsi="Arial" w:cs="Arial"/>
              </w:rPr>
            </w:pPr>
            <w:r w:rsidRPr="00496D27">
              <w:rPr>
                <w:rFonts w:ascii="Arial" w:hAnsi="Arial" w:cs="Arial"/>
              </w:rPr>
              <w:t>Mean change in Tardieu (°):</w:t>
            </w:r>
          </w:p>
          <w:p w14:paraId="27128240" w14:textId="77777777" w:rsidR="008D0D0C" w:rsidRPr="00496D27" w:rsidRDefault="008D0D0C" w:rsidP="008D0D0C">
            <w:pPr>
              <w:autoSpaceDE w:val="0"/>
              <w:autoSpaceDN w:val="0"/>
              <w:rPr>
                <w:rFonts w:ascii="Arial" w:hAnsi="Arial" w:cs="Arial"/>
              </w:rPr>
            </w:pPr>
            <w:r w:rsidRPr="00496D27">
              <w:rPr>
                <w:rFonts w:ascii="Arial" w:hAnsi="Arial" w:cs="Arial"/>
              </w:rPr>
              <w:t>BTX-A group = 11.5° (SE of mean=1.6°)</w:t>
            </w:r>
          </w:p>
          <w:p w14:paraId="0C1BA313" w14:textId="77777777" w:rsidR="008D0D0C" w:rsidRPr="00496D27" w:rsidRDefault="008D0D0C" w:rsidP="008D0D0C">
            <w:pPr>
              <w:autoSpaceDE w:val="0"/>
              <w:autoSpaceDN w:val="0"/>
              <w:rPr>
                <w:rFonts w:ascii="Arial" w:hAnsi="Arial" w:cs="Arial"/>
              </w:rPr>
            </w:pPr>
            <w:r w:rsidRPr="00496D27">
              <w:rPr>
                <w:rFonts w:ascii="Arial" w:hAnsi="Arial" w:cs="Arial"/>
              </w:rPr>
              <w:t>Placebo group = -0.62° (SE of mean=2.9°)</w:t>
            </w:r>
          </w:p>
          <w:p w14:paraId="1B4BD0DE" w14:textId="77777777" w:rsidR="008D0D0C" w:rsidRPr="00496D27" w:rsidRDefault="008D0D0C" w:rsidP="008D0D0C">
            <w:pPr>
              <w:autoSpaceDE w:val="0"/>
              <w:autoSpaceDN w:val="0"/>
              <w:rPr>
                <w:rFonts w:ascii="Arial" w:hAnsi="Arial" w:cs="Arial"/>
              </w:rPr>
            </w:pPr>
            <w:r w:rsidRPr="00496D27">
              <w:rPr>
                <w:rFonts w:ascii="Arial" w:hAnsi="Arial" w:cs="Arial"/>
              </w:rPr>
              <w:t>P&lt;0.01</w:t>
            </w:r>
          </w:p>
          <w:p w14:paraId="46989AA2" w14:textId="77777777" w:rsidR="008D0D0C" w:rsidRPr="00496D27" w:rsidRDefault="008D0D0C" w:rsidP="008D0D0C">
            <w:pPr>
              <w:autoSpaceDE w:val="0"/>
              <w:autoSpaceDN w:val="0"/>
              <w:rPr>
                <w:rFonts w:ascii="Arial" w:hAnsi="Arial" w:cs="Arial"/>
              </w:rPr>
            </w:pPr>
          </w:p>
          <w:p w14:paraId="5312DE21" w14:textId="6771055A" w:rsidR="009806E8" w:rsidRPr="00496D27" w:rsidRDefault="008D0D0C" w:rsidP="008D0D0C">
            <w:pPr>
              <w:autoSpaceDE w:val="0"/>
              <w:autoSpaceDN w:val="0"/>
            </w:pPr>
            <w:r w:rsidRPr="00496D27">
              <w:rPr>
                <w:rFonts w:ascii="Arial" w:hAnsi="Arial" w:cs="Arial"/>
              </w:rPr>
              <w:lastRenderedPageBreak/>
              <w:t>In the BTX-A group there was a significant increase in the dynamic range following treatment which was quantifiable using the MTS. The investigators concluded that the Tardieu Scale had a significant ability to detect change following spasticity treatment.</w:t>
            </w:r>
          </w:p>
        </w:tc>
      </w:tr>
    </w:tbl>
    <w:p w14:paraId="54D1A963" w14:textId="77777777" w:rsidR="00E74AFD" w:rsidRPr="001D47EF" w:rsidRDefault="00E74AFD" w:rsidP="00DE7BE6">
      <w:pPr>
        <w:autoSpaceDE w:val="0"/>
        <w:autoSpaceDN w:val="0"/>
        <w:adjustRightInd w:val="0"/>
        <w:spacing w:after="0" w:line="240" w:lineRule="auto"/>
        <w:jc w:val="both"/>
        <w:rPr>
          <w:bCs/>
          <w:spacing w:val="0"/>
          <w:sz w:val="22"/>
          <w:szCs w:val="22"/>
        </w:rPr>
      </w:pPr>
    </w:p>
    <w:p w14:paraId="3CF6E864" w14:textId="77777777" w:rsidR="008D0D0C" w:rsidRDefault="008D0D0C" w:rsidP="00E74AFD">
      <w:pPr>
        <w:rPr>
          <w:rFonts w:ascii="Tahoma-Bold" w:hAnsi="Tahoma-Bold" w:cs="Tahoma-Bold"/>
          <w:b/>
          <w:bCs/>
          <w:sz w:val="22"/>
          <w:szCs w:val="22"/>
        </w:rPr>
      </w:pPr>
      <w:bookmarkStart w:id="0" w:name="_GoBack"/>
      <w:bookmarkEnd w:id="0"/>
    </w:p>
    <w:p w14:paraId="4FBFE37A" w14:textId="1AD01D0B" w:rsidR="00E74AFD" w:rsidRDefault="00E74AFD" w:rsidP="00E74AFD">
      <w:pPr>
        <w:rPr>
          <w:rFonts w:ascii="Tahoma-Bold" w:hAnsi="Tahoma-Bold" w:cs="Tahoma-Bold"/>
          <w:b/>
          <w:bCs/>
          <w:sz w:val="22"/>
          <w:szCs w:val="22"/>
        </w:rPr>
      </w:pPr>
      <w:r>
        <w:rPr>
          <w:rFonts w:ascii="Tahoma-Bold" w:hAnsi="Tahoma-Bold" w:cs="Tahoma-Bold"/>
          <w:b/>
          <w:bCs/>
          <w:sz w:val="22"/>
          <w:szCs w:val="22"/>
        </w:rPr>
        <w:t>VALIDITY</w:t>
      </w:r>
      <w:r>
        <w:rPr>
          <w:rFonts w:ascii="Tahoma-Bold" w:hAnsi="Tahoma-Bold" w:cs="Tahoma-Bold"/>
          <w:b/>
          <w:bCs/>
          <w:sz w:val="22"/>
          <w:szCs w:val="22"/>
        </w:rPr>
        <w:t xml:space="preserve"> STUDIES WITH ADULT</w:t>
      </w:r>
      <w:r>
        <w:rPr>
          <w:rFonts w:ascii="Tahoma-Bold" w:hAnsi="Tahoma-Bold" w:cs="Tahoma-Bold"/>
          <w:b/>
          <w:bCs/>
          <w:sz w:val="22"/>
          <w:szCs w:val="22"/>
        </w:rPr>
        <w:t xml:space="preserve"> SUBJECTS:</w:t>
      </w:r>
    </w:p>
    <w:tbl>
      <w:tblPr>
        <w:tblStyle w:val="TableGrid"/>
        <w:tblW w:w="10710" w:type="dxa"/>
        <w:tblInd w:w="85" w:type="dxa"/>
        <w:tblLayout w:type="fixed"/>
        <w:tblLook w:val="04A0" w:firstRow="1" w:lastRow="0" w:firstColumn="1" w:lastColumn="0" w:noHBand="0" w:noVBand="1"/>
      </w:tblPr>
      <w:tblGrid>
        <w:gridCol w:w="2430"/>
        <w:gridCol w:w="2880"/>
        <w:gridCol w:w="5400"/>
      </w:tblGrid>
      <w:tr w:rsidR="00FD25B6" w:rsidRPr="009A50C4" w14:paraId="4573D830" w14:textId="77777777" w:rsidTr="00C13BC4">
        <w:tc>
          <w:tcPr>
            <w:tcW w:w="2430" w:type="dxa"/>
          </w:tcPr>
          <w:p w14:paraId="7A58F69C" w14:textId="2E6DA93D" w:rsidR="00FD25B6" w:rsidRDefault="00FD25B6" w:rsidP="00C13BC4">
            <w:pPr>
              <w:jc w:val="center"/>
              <w:rPr>
                <w:rFonts w:ascii="Arial" w:hAnsi="Arial" w:cs="Arial"/>
                <w:b/>
              </w:rPr>
            </w:pPr>
            <w:r w:rsidRPr="009A50C4">
              <w:rPr>
                <w:rFonts w:ascii="Arial" w:hAnsi="Arial" w:cs="Arial"/>
                <w:b/>
              </w:rPr>
              <w:t>RESEARCH STUDY</w:t>
            </w:r>
          </w:p>
          <w:p w14:paraId="41F9AEA7" w14:textId="77777777" w:rsidR="00FD25B6" w:rsidRPr="009A50C4" w:rsidRDefault="00FD25B6" w:rsidP="00C13BC4">
            <w:pPr>
              <w:jc w:val="center"/>
              <w:rPr>
                <w:rFonts w:ascii="Arial" w:hAnsi="Arial" w:cs="Arial"/>
                <w:b/>
              </w:rPr>
            </w:pPr>
            <w:r>
              <w:rPr>
                <w:rFonts w:ascii="Arial" w:hAnsi="Arial" w:cs="Arial"/>
                <w:b/>
              </w:rPr>
              <w:t>SUBJECTS</w:t>
            </w:r>
          </w:p>
        </w:tc>
        <w:tc>
          <w:tcPr>
            <w:tcW w:w="2880" w:type="dxa"/>
          </w:tcPr>
          <w:p w14:paraId="22AE1529" w14:textId="77777777" w:rsidR="00FD25B6" w:rsidRDefault="00FD25B6" w:rsidP="00C13BC4">
            <w:pPr>
              <w:jc w:val="center"/>
              <w:rPr>
                <w:rFonts w:ascii="Arial" w:hAnsi="Arial" w:cs="Arial"/>
                <w:b/>
              </w:rPr>
            </w:pPr>
            <w:r>
              <w:rPr>
                <w:rFonts w:ascii="Arial" w:hAnsi="Arial" w:cs="Arial"/>
                <w:b/>
              </w:rPr>
              <w:t>COMPARISONS/</w:t>
            </w:r>
          </w:p>
          <w:p w14:paraId="0B6E8D3B" w14:textId="77777777" w:rsidR="00FD25B6" w:rsidRPr="009A50C4" w:rsidRDefault="00FD25B6" w:rsidP="00C13BC4">
            <w:pPr>
              <w:jc w:val="center"/>
              <w:rPr>
                <w:rFonts w:ascii="Arial" w:hAnsi="Arial" w:cs="Arial"/>
                <w:b/>
              </w:rPr>
            </w:pPr>
            <w:r w:rsidRPr="009A50C4">
              <w:rPr>
                <w:rFonts w:ascii="Arial" w:hAnsi="Arial" w:cs="Arial"/>
                <w:b/>
              </w:rPr>
              <w:t>LABORATORY MEASURE</w:t>
            </w:r>
            <w:r>
              <w:rPr>
                <w:rFonts w:ascii="Arial" w:hAnsi="Arial" w:cs="Arial"/>
                <w:b/>
              </w:rPr>
              <w:t>S</w:t>
            </w:r>
          </w:p>
        </w:tc>
        <w:tc>
          <w:tcPr>
            <w:tcW w:w="5400" w:type="dxa"/>
          </w:tcPr>
          <w:p w14:paraId="2B2CC0EA" w14:textId="77777777" w:rsidR="00FD25B6" w:rsidRDefault="00FD25B6" w:rsidP="00C13BC4">
            <w:pPr>
              <w:jc w:val="center"/>
              <w:rPr>
                <w:rFonts w:ascii="Arial" w:hAnsi="Arial" w:cs="Arial"/>
                <w:b/>
              </w:rPr>
            </w:pPr>
            <w:r w:rsidRPr="009A50C4">
              <w:rPr>
                <w:rFonts w:ascii="Arial" w:hAnsi="Arial" w:cs="Arial"/>
                <w:b/>
              </w:rPr>
              <w:t>RESULT</w:t>
            </w:r>
            <w:r>
              <w:rPr>
                <w:rFonts w:ascii="Arial" w:hAnsi="Arial" w:cs="Arial"/>
                <w:b/>
              </w:rPr>
              <w:t>S/</w:t>
            </w:r>
          </w:p>
          <w:p w14:paraId="6EF1987D" w14:textId="77777777" w:rsidR="00FD25B6" w:rsidRPr="009A50C4" w:rsidRDefault="00FD25B6" w:rsidP="00C13BC4">
            <w:pPr>
              <w:jc w:val="center"/>
              <w:rPr>
                <w:rFonts w:ascii="Arial" w:hAnsi="Arial" w:cs="Arial"/>
                <w:b/>
              </w:rPr>
            </w:pPr>
            <w:r w:rsidRPr="009A50C4">
              <w:rPr>
                <w:rFonts w:ascii="Arial" w:hAnsi="Arial" w:cs="Arial"/>
                <w:b/>
              </w:rPr>
              <w:t>CONCLUSION</w:t>
            </w:r>
          </w:p>
        </w:tc>
      </w:tr>
      <w:tr w:rsidR="00CE49AB" w:rsidRPr="00496D27" w14:paraId="28DD5617" w14:textId="77777777" w:rsidTr="00C13BC4">
        <w:tc>
          <w:tcPr>
            <w:tcW w:w="2430" w:type="dxa"/>
          </w:tcPr>
          <w:p w14:paraId="7B1C17AC" w14:textId="77777777" w:rsidR="00CE49AB" w:rsidRPr="00496D27" w:rsidRDefault="00CE49AB" w:rsidP="00B10B69">
            <w:pPr>
              <w:rPr>
                <w:rFonts w:ascii="Arial" w:hAnsi="Arial" w:cs="Arial"/>
                <w:b/>
              </w:rPr>
            </w:pPr>
          </w:p>
          <w:p w14:paraId="449091FD" w14:textId="291A903C" w:rsidR="00CE49AB" w:rsidRPr="00496D27" w:rsidRDefault="00CE49AB" w:rsidP="00B10B69">
            <w:pPr>
              <w:rPr>
                <w:rFonts w:ascii="Arial" w:hAnsi="Arial" w:cs="Arial"/>
                <w:b/>
              </w:rPr>
            </w:pPr>
          </w:p>
        </w:tc>
        <w:tc>
          <w:tcPr>
            <w:tcW w:w="2880" w:type="dxa"/>
          </w:tcPr>
          <w:p w14:paraId="793D74A4" w14:textId="11852A24" w:rsidR="008D4015" w:rsidRPr="00496D27" w:rsidRDefault="008D4015" w:rsidP="005E30FB">
            <w:pPr>
              <w:autoSpaceDE w:val="0"/>
              <w:autoSpaceDN w:val="0"/>
              <w:rPr>
                <w:rFonts w:ascii="Arial" w:hAnsi="Arial" w:cs="Arial"/>
              </w:rPr>
            </w:pPr>
          </w:p>
        </w:tc>
        <w:tc>
          <w:tcPr>
            <w:tcW w:w="5400" w:type="dxa"/>
          </w:tcPr>
          <w:p w14:paraId="45B0C0B2" w14:textId="2AF48CDB" w:rsidR="00F736B7" w:rsidRPr="00496D27" w:rsidRDefault="00F736B7" w:rsidP="00B10B69">
            <w:pPr>
              <w:autoSpaceDE w:val="0"/>
              <w:autoSpaceDN w:val="0"/>
              <w:rPr>
                <w:rFonts w:ascii="Arial" w:hAnsi="Arial" w:cs="Arial"/>
              </w:rPr>
            </w:pPr>
            <w:r w:rsidRPr="00496D27">
              <w:rPr>
                <w:rFonts w:ascii="Arial" w:hAnsi="Arial" w:cs="Arial"/>
              </w:rPr>
              <w:t xml:space="preserve"> </w:t>
            </w:r>
          </w:p>
        </w:tc>
      </w:tr>
      <w:tr w:rsidR="00424BC7" w:rsidRPr="00496D27" w14:paraId="1041A39D" w14:textId="77777777" w:rsidTr="00C13BC4">
        <w:tc>
          <w:tcPr>
            <w:tcW w:w="2430" w:type="dxa"/>
          </w:tcPr>
          <w:p w14:paraId="4C92960C" w14:textId="69FD1F58" w:rsidR="00424BC7" w:rsidRPr="00496D27" w:rsidRDefault="00424BC7" w:rsidP="00B10B69">
            <w:pPr>
              <w:rPr>
                <w:rFonts w:ascii="Arial" w:hAnsi="Arial" w:cs="Arial"/>
                <w:b/>
              </w:rPr>
            </w:pPr>
            <w:r w:rsidRPr="00496D27">
              <w:rPr>
                <w:rFonts w:ascii="Arial" w:hAnsi="Arial" w:cs="Arial"/>
                <w:b/>
              </w:rPr>
              <w:t>Gholami et al. (2017)</w:t>
            </w:r>
          </w:p>
          <w:p w14:paraId="5AF6F75C" w14:textId="77777777" w:rsidR="00424BC7" w:rsidRPr="00496D27" w:rsidRDefault="00424BC7" w:rsidP="00B10B69">
            <w:pPr>
              <w:rPr>
                <w:rFonts w:ascii="Arial" w:hAnsi="Arial" w:cs="Arial"/>
                <w:b/>
              </w:rPr>
            </w:pPr>
          </w:p>
          <w:p w14:paraId="757399B7" w14:textId="1ADC0264" w:rsidR="00424BC7" w:rsidRPr="00496D27" w:rsidRDefault="00695966" w:rsidP="00424BC7">
            <w:pPr>
              <w:rPr>
                <w:rFonts w:ascii="Arial" w:hAnsi="Arial" w:cs="Arial"/>
              </w:rPr>
            </w:pPr>
            <w:r w:rsidRPr="00496D27">
              <w:rPr>
                <w:rFonts w:ascii="Arial" w:hAnsi="Arial" w:cs="Arial"/>
              </w:rPr>
              <w:t xml:space="preserve">1 Lower </w:t>
            </w:r>
            <w:r w:rsidR="00424BC7" w:rsidRPr="00496D27">
              <w:rPr>
                <w:rFonts w:ascii="Arial" w:hAnsi="Arial" w:cs="Arial"/>
              </w:rPr>
              <w:t>limb muscle group</w:t>
            </w:r>
            <w:r w:rsidR="00B75414" w:rsidRPr="00496D27">
              <w:rPr>
                <w:rFonts w:ascii="Arial" w:hAnsi="Arial" w:cs="Arial"/>
              </w:rPr>
              <w:t xml:space="preserve"> (knee extensors)</w:t>
            </w:r>
          </w:p>
          <w:p w14:paraId="6EDCFF22" w14:textId="77777777" w:rsidR="00424BC7" w:rsidRPr="00496D27" w:rsidRDefault="00424BC7" w:rsidP="00424BC7">
            <w:pPr>
              <w:rPr>
                <w:rFonts w:ascii="Arial" w:hAnsi="Arial" w:cs="Arial"/>
              </w:rPr>
            </w:pPr>
          </w:p>
          <w:p w14:paraId="2F34ACB8" w14:textId="77777777" w:rsidR="00424BC7" w:rsidRPr="00496D27" w:rsidRDefault="00424BC7" w:rsidP="00424BC7">
            <w:pPr>
              <w:rPr>
                <w:rFonts w:ascii="Arial" w:hAnsi="Arial" w:cs="Arial"/>
              </w:rPr>
            </w:pPr>
            <w:r w:rsidRPr="00496D27">
              <w:rPr>
                <w:rFonts w:ascii="Arial" w:hAnsi="Arial" w:cs="Arial"/>
              </w:rPr>
              <w:t>Validity</w:t>
            </w:r>
          </w:p>
          <w:p w14:paraId="12D2E1F1" w14:textId="77777777" w:rsidR="00424BC7" w:rsidRPr="00496D27" w:rsidRDefault="00424BC7" w:rsidP="00424BC7">
            <w:pPr>
              <w:rPr>
                <w:rFonts w:ascii="Arial" w:hAnsi="Arial" w:cs="Arial"/>
              </w:rPr>
            </w:pPr>
            <w:r w:rsidRPr="00496D27">
              <w:rPr>
                <w:rFonts w:ascii="Arial" w:hAnsi="Arial" w:cs="Arial"/>
              </w:rPr>
              <w:t>MTS</w:t>
            </w:r>
          </w:p>
          <w:p w14:paraId="3F329EE3" w14:textId="77777777" w:rsidR="00424BC7" w:rsidRPr="00496D27" w:rsidRDefault="00424BC7" w:rsidP="00424BC7">
            <w:pPr>
              <w:rPr>
                <w:rFonts w:ascii="Arial" w:hAnsi="Arial" w:cs="Arial"/>
              </w:rPr>
            </w:pPr>
          </w:p>
          <w:p w14:paraId="1406371F" w14:textId="7843BE1D" w:rsidR="00424BC7" w:rsidRPr="00496D27" w:rsidRDefault="00424BC7" w:rsidP="00424BC7">
            <w:pPr>
              <w:rPr>
                <w:rFonts w:ascii="Arial" w:hAnsi="Arial" w:cs="Arial"/>
              </w:rPr>
            </w:pPr>
            <w:r w:rsidRPr="00496D27">
              <w:rPr>
                <w:rFonts w:ascii="Arial" w:hAnsi="Arial" w:cs="Arial"/>
              </w:rPr>
              <w:t>N=</w:t>
            </w:r>
            <w:r w:rsidR="00695966" w:rsidRPr="00496D27">
              <w:rPr>
                <w:rFonts w:ascii="Arial" w:hAnsi="Arial" w:cs="Arial"/>
              </w:rPr>
              <w:t>30 Adults with stroke</w:t>
            </w:r>
          </w:p>
          <w:p w14:paraId="5C8799B8" w14:textId="77777777" w:rsidR="00424BC7" w:rsidRPr="00496D27" w:rsidRDefault="00424BC7" w:rsidP="00B10B69">
            <w:pPr>
              <w:rPr>
                <w:rFonts w:ascii="Arial" w:hAnsi="Arial" w:cs="Arial"/>
                <w:b/>
              </w:rPr>
            </w:pPr>
          </w:p>
          <w:p w14:paraId="61983043" w14:textId="77777777" w:rsidR="00424BC7" w:rsidRPr="00496D27" w:rsidRDefault="00424BC7" w:rsidP="00B10B69">
            <w:pPr>
              <w:rPr>
                <w:rFonts w:ascii="Arial" w:hAnsi="Arial" w:cs="Arial"/>
                <w:b/>
              </w:rPr>
            </w:pPr>
          </w:p>
          <w:p w14:paraId="78BF0BE9" w14:textId="5920FD09" w:rsidR="00424BC7" w:rsidRPr="00496D27" w:rsidRDefault="00424BC7" w:rsidP="00B10B69">
            <w:pPr>
              <w:rPr>
                <w:rFonts w:ascii="Arial" w:hAnsi="Arial" w:cs="Arial"/>
                <w:b/>
              </w:rPr>
            </w:pPr>
          </w:p>
        </w:tc>
        <w:tc>
          <w:tcPr>
            <w:tcW w:w="2880" w:type="dxa"/>
          </w:tcPr>
          <w:p w14:paraId="5438CF79" w14:textId="13602A85" w:rsidR="00424BC7" w:rsidRPr="00496D27" w:rsidRDefault="00695966" w:rsidP="00B10B69">
            <w:pPr>
              <w:rPr>
                <w:rFonts w:ascii="Arial" w:hAnsi="Arial" w:cs="Arial"/>
              </w:rPr>
            </w:pPr>
            <w:r w:rsidRPr="00496D27">
              <w:rPr>
                <w:rFonts w:ascii="Arial" w:hAnsi="Arial" w:cs="Arial"/>
              </w:rPr>
              <w:t>Investigation of the relationship between the MTS and a biomechanical measure in assessing knee extensor muscle spasticity. An isokinetic dynamometer was used to move the knee passively from full extension to 90°</w:t>
            </w:r>
            <w:r w:rsidR="00B75414" w:rsidRPr="00496D27">
              <w:rPr>
                <w:rFonts w:ascii="Arial" w:hAnsi="Arial" w:cs="Arial"/>
              </w:rPr>
              <w:t xml:space="preserve"> flexion at various speeds to collect torque-angle data. The slope of the work-velocity curve was calculated using linear regression.</w:t>
            </w:r>
          </w:p>
        </w:tc>
        <w:tc>
          <w:tcPr>
            <w:tcW w:w="5400" w:type="dxa"/>
          </w:tcPr>
          <w:p w14:paraId="227C291B" w14:textId="11F831C0" w:rsidR="00B75414" w:rsidRPr="00496D27" w:rsidRDefault="00B75414" w:rsidP="00B10B69">
            <w:pPr>
              <w:autoSpaceDE w:val="0"/>
              <w:autoSpaceDN w:val="0"/>
              <w:rPr>
                <w:rFonts w:ascii="Arial" w:hAnsi="Arial" w:cs="Arial"/>
              </w:rPr>
            </w:pPr>
            <w:r w:rsidRPr="00496D27">
              <w:rPr>
                <w:rFonts w:ascii="Arial" w:hAnsi="Arial" w:cs="Arial"/>
              </w:rPr>
              <w:t>The mean of R2-R1 component of MTS was 19.73 (SD 29.85). The mean work significantly decreased as the speed increased (</w:t>
            </w:r>
            <w:r w:rsidRPr="00496D27">
              <w:rPr>
                <w:rFonts w:ascii="Arial" w:hAnsi="Arial" w:cs="Arial"/>
                <w:i/>
              </w:rPr>
              <w:t>p</w:t>
            </w:r>
            <w:r w:rsidRPr="00496D27">
              <w:rPr>
                <w:rFonts w:ascii="Arial" w:hAnsi="Arial" w:cs="Arial"/>
              </w:rPr>
              <w:t>&lt;.001). The mean (SD) slope for the work-velocity curve was -0.83 (SD 0.73). There was no significant relationship between the R2-R1 of the MTS and the slope of work-velocity curve (</w:t>
            </w:r>
            <w:r w:rsidRPr="00496D27">
              <w:rPr>
                <w:rFonts w:ascii="Arial" w:hAnsi="Arial" w:cs="Arial"/>
                <w:i/>
              </w:rPr>
              <w:t>r</w:t>
            </w:r>
            <w:r w:rsidRPr="00496D27">
              <w:rPr>
                <w:rFonts w:ascii="Arial" w:hAnsi="Arial" w:cs="Arial"/>
              </w:rPr>
              <w:t xml:space="preserve">=0.09, </w:t>
            </w:r>
            <w:r w:rsidRPr="00496D27">
              <w:rPr>
                <w:rFonts w:ascii="Arial" w:hAnsi="Arial" w:cs="Arial"/>
                <w:i/>
              </w:rPr>
              <w:t>p</w:t>
            </w:r>
            <w:r w:rsidRPr="00496D27">
              <w:rPr>
                <w:rFonts w:ascii="Arial" w:hAnsi="Arial" w:cs="Arial"/>
              </w:rPr>
              <w:t>=.62).</w:t>
            </w:r>
          </w:p>
        </w:tc>
      </w:tr>
      <w:tr w:rsidR="00B10B69" w:rsidRPr="00496D27" w14:paraId="27F63670" w14:textId="77777777" w:rsidTr="00C13BC4">
        <w:tc>
          <w:tcPr>
            <w:tcW w:w="2430" w:type="dxa"/>
          </w:tcPr>
          <w:p w14:paraId="1A6400FD" w14:textId="0E4A72A6" w:rsidR="00B10B69" w:rsidRPr="00496D27" w:rsidRDefault="00C4085E" w:rsidP="00B10B69">
            <w:pPr>
              <w:rPr>
                <w:rFonts w:ascii="Arial" w:hAnsi="Arial" w:cs="Arial"/>
                <w:b/>
              </w:rPr>
            </w:pPr>
            <w:r w:rsidRPr="00496D27">
              <w:rPr>
                <w:rFonts w:ascii="Arial" w:hAnsi="Arial" w:cs="Arial"/>
                <w:b/>
              </w:rPr>
              <w:t>Naghdi et al. (2014)</w:t>
            </w:r>
          </w:p>
          <w:p w14:paraId="0FFCA65A" w14:textId="77777777" w:rsidR="00C4085E" w:rsidRPr="00496D27" w:rsidRDefault="00C4085E" w:rsidP="00B10B69">
            <w:pPr>
              <w:rPr>
                <w:rFonts w:ascii="Arial" w:hAnsi="Arial" w:cs="Arial"/>
                <w:b/>
              </w:rPr>
            </w:pPr>
          </w:p>
          <w:p w14:paraId="189FB4F5" w14:textId="3FCFCF7B" w:rsidR="00C4085E" w:rsidRPr="00496D27" w:rsidRDefault="00550ACE" w:rsidP="00C4085E">
            <w:pPr>
              <w:rPr>
                <w:rFonts w:ascii="Arial" w:hAnsi="Arial" w:cs="Arial"/>
              </w:rPr>
            </w:pPr>
            <w:r w:rsidRPr="00496D27">
              <w:rPr>
                <w:rFonts w:ascii="Arial" w:hAnsi="Arial" w:cs="Arial"/>
              </w:rPr>
              <w:t xml:space="preserve">1 Upper </w:t>
            </w:r>
            <w:r w:rsidR="00C4085E" w:rsidRPr="00496D27">
              <w:rPr>
                <w:rFonts w:ascii="Arial" w:hAnsi="Arial" w:cs="Arial"/>
              </w:rPr>
              <w:t>limb muscle group</w:t>
            </w:r>
            <w:r w:rsidRPr="00496D27">
              <w:rPr>
                <w:rFonts w:ascii="Arial" w:hAnsi="Arial" w:cs="Arial"/>
              </w:rPr>
              <w:t xml:space="preserve"> (wrist flexors)</w:t>
            </w:r>
          </w:p>
          <w:p w14:paraId="41EDC796" w14:textId="77777777" w:rsidR="00C4085E" w:rsidRPr="00496D27" w:rsidRDefault="00C4085E" w:rsidP="00C4085E">
            <w:pPr>
              <w:rPr>
                <w:rFonts w:ascii="Arial" w:hAnsi="Arial" w:cs="Arial"/>
              </w:rPr>
            </w:pPr>
          </w:p>
          <w:p w14:paraId="5A0EA241" w14:textId="73B9BB48" w:rsidR="00C4085E" w:rsidRPr="00496D27" w:rsidRDefault="00550ACE" w:rsidP="00C4085E">
            <w:pPr>
              <w:rPr>
                <w:rFonts w:ascii="Arial" w:hAnsi="Arial" w:cs="Arial"/>
              </w:rPr>
            </w:pPr>
            <w:r w:rsidRPr="00496D27">
              <w:rPr>
                <w:rFonts w:ascii="Arial" w:hAnsi="Arial" w:cs="Arial"/>
              </w:rPr>
              <w:t xml:space="preserve">Concurrent Criterion </w:t>
            </w:r>
            <w:r w:rsidR="00C4085E" w:rsidRPr="00496D27">
              <w:rPr>
                <w:rFonts w:ascii="Arial" w:hAnsi="Arial" w:cs="Arial"/>
              </w:rPr>
              <w:t>Validity</w:t>
            </w:r>
          </w:p>
          <w:p w14:paraId="7E736C81" w14:textId="77777777" w:rsidR="00C4085E" w:rsidRPr="00496D27" w:rsidRDefault="00C4085E" w:rsidP="00C4085E">
            <w:pPr>
              <w:rPr>
                <w:rFonts w:ascii="Arial" w:hAnsi="Arial" w:cs="Arial"/>
              </w:rPr>
            </w:pPr>
            <w:r w:rsidRPr="00496D27">
              <w:rPr>
                <w:rFonts w:ascii="Arial" w:hAnsi="Arial" w:cs="Arial"/>
              </w:rPr>
              <w:t>MTS</w:t>
            </w:r>
          </w:p>
          <w:p w14:paraId="2D168959" w14:textId="77777777" w:rsidR="00C4085E" w:rsidRPr="00496D27" w:rsidRDefault="00C4085E" w:rsidP="00C4085E">
            <w:pPr>
              <w:rPr>
                <w:rFonts w:ascii="Arial" w:hAnsi="Arial" w:cs="Arial"/>
              </w:rPr>
            </w:pPr>
          </w:p>
          <w:p w14:paraId="37CCDEA0" w14:textId="6AE9E328" w:rsidR="00C4085E" w:rsidRPr="00496D27" w:rsidRDefault="00C4085E" w:rsidP="00D8447B">
            <w:pPr>
              <w:rPr>
                <w:rFonts w:ascii="Arial" w:hAnsi="Arial" w:cs="Arial"/>
                <w:b/>
              </w:rPr>
            </w:pPr>
            <w:r w:rsidRPr="00496D27">
              <w:rPr>
                <w:rFonts w:ascii="Arial" w:hAnsi="Arial" w:cs="Arial"/>
              </w:rPr>
              <w:t>N=</w:t>
            </w:r>
            <w:r w:rsidR="00550ACE" w:rsidRPr="00496D27">
              <w:rPr>
                <w:rFonts w:ascii="Arial" w:hAnsi="Arial" w:cs="Arial"/>
              </w:rPr>
              <w:t>20 Adults post stroke</w:t>
            </w:r>
          </w:p>
        </w:tc>
        <w:tc>
          <w:tcPr>
            <w:tcW w:w="2880" w:type="dxa"/>
          </w:tcPr>
          <w:p w14:paraId="49857CF6" w14:textId="7A338CF1" w:rsidR="00B10B69" w:rsidRPr="00496D27" w:rsidRDefault="00550ACE" w:rsidP="00B10B69">
            <w:pPr>
              <w:rPr>
                <w:rFonts w:ascii="Arial" w:hAnsi="Arial" w:cs="Arial"/>
              </w:rPr>
            </w:pPr>
            <w:r w:rsidRPr="00496D27">
              <w:rPr>
                <w:rFonts w:ascii="Arial" w:hAnsi="Arial" w:cs="Arial"/>
              </w:rPr>
              <w:t>Comparison of clinical (R2-R1 of the MTS) and electrophysiological assessment (H-reflex tests) of wrist flexor muscle spasticity.</w:t>
            </w:r>
          </w:p>
        </w:tc>
        <w:tc>
          <w:tcPr>
            <w:tcW w:w="5400" w:type="dxa"/>
          </w:tcPr>
          <w:p w14:paraId="2117C53B" w14:textId="0BFE36A7" w:rsidR="00550ACE" w:rsidRPr="00496D27" w:rsidRDefault="00550ACE" w:rsidP="00B10B69">
            <w:pPr>
              <w:autoSpaceDE w:val="0"/>
              <w:autoSpaceDN w:val="0"/>
              <w:rPr>
                <w:rFonts w:ascii="Arial" w:hAnsi="Arial" w:cs="Arial"/>
              </w:rPr>
            </w:pPr>
            <w:r w:rsidRPr="00496D27">
              <w:rPr>
                <w:rFonts w:ascii="Arial" w:hAnsi="Arial" w:cs="Arial"/>
              </w:rPr>
              <w:t>There was no significant association between the MTS and H-reflex tests.</w:t>
            </w:r>
          </w:p>
        </w:tc>
      </w:tr>
      <w:tr w:rsidR="00B10B69" w:rsidRPr="009A50C4" w14:paraId="04F2F116" w14:textId="77777777" w:rsidTr="00C13BC4">
        <w:tc>
          <w:tcPr>
            <w:tcW w:w="2430" w:type="dxa"/>
          </w:tcPr>
          <w:p w14:paraId="5D4E74B4" w14:textId="77777777" w:rsidR="00B10B69" w:rsidRPr="00496D27" w:rsidRDefault="00B10B69" w:rsidP="00B10B69">
            <w:pPr>
              <w:rPr>
                <w:rFonts w:ascii="Arial" w:hAnsi="Arial" w:cs="Arial"/>
                <w:b/>
              </w:rPr>
            </w:pPr>
            <w:r w:rsidRPr="00496D27">
              <w:rPr>
                <w:rFonts w:ascii="Arial" w:hAnsi="Arial" w:cs="Arial"/>
                <w:b/>
              </w:rPr>
              <w:t>Patrick and Ada (2006)</w:t>
            </w:r>
          </w:p>
          <w:p w14:paraId="25E011AE" w14:textId="77777777" w:rsidR="00B10B69" w:rsidRPr="00496D27" w:rsidRDefault="00B10B69" w:rsidP="00B10B69">
            <w:pPr>
              <w:rPr>
                <w:rFonts w:ascii="Arial" w:hAnsi="Arial" w:cs="Arial"/>
                <w:b/>
              </w:rPr>
            </w:pPr>
          </w:p>
          <w:p w14:paraId="20131675" w14:textId="77777777" w:rsidR="00B10B69" w:rsidRPr="00496D27" w:rsidRDefault="00B10B69" w:rsidP="00B10B69">
            <w:pPr>
              <w:rPr>
                <w:rFonts w:ascii="Arial" w:hAnsi="Arial" w:cs="Arial"/>
              </w:rPr>
            </w:pPr>
            <w:r w:rsidRPr="00496D27">
              <w:rPr>
                <w:rFonts w:ascii="Arial" w:hAnsi="Arial" w:cs="Arial"/>
              </w:rPr>
              <w:t>2 upper/lower limb muscle groups</w:t>
            </w:r>
          </w:p>
          <w:p w14:paraId="17513C9B" w14:textId="77777777" w:rsidR="00B10B69" w:rsidRPr="00496D27" w:rsidRDefault="00B10B69" w:rsidP="00B10B69">
            <w:pPr>
              <w:rPr>
                <w:rFonts w:ascii="Arial" w:hAnsi="Arial" w:cs="Arial"/>
                <w:b/>
              </w:rPr>
            </w:pPr>
          </w:p>
          <w:p w14:paraId="228EBF55" w14:textId="3F86782D" w:rsidR="00B10B69" w:rsidRPr="00496D27" w:rsidRDefault="00A41865" w:rsidP="00B10B69">
            <w:pPr>
              <w:rPr>
                <w:rFonts w:ascii="Arial" w:hAnsi="Arial" w:cs="Arial"/>
              </w:rPr>
            </w:pPr>
            <w:r w:rsidRPr="00496D27">
              <w:rPr>
                <w:rFonts w:ascii="Arial" w:hAnsi="Arial" w:cs="Arial"/>
              </w:rPr>
              <w:t xml:space="preserve">Construct </w:t>
            </w:r>
            <w:r w:rsidR="00B10B69" w:rsidRPr="00496D27">
              <w:rPr>
                <w:rFonts w:ascii="Arial" w:hAnsi="Arial" w:cs="Arial"/>
              </w:rPr>
              <w:t>Validity</w:t>
            </w:r>
          </w:p>
          <w:p w14:paraId="594EDC1F" w14:textId="77777777" w:rsidR="00B10B69" w:rsidRPr="00496D27" w:rsidRDefault="00B10B69" w:rsidP="00B10B69">
            <w:pPr>
              <w:rPr>
                <w:rFonts w:ascii="Arial" w:hAnsi="Arial" w:cs="Arial"/>
              </w:rPr>
            </w:pPr>
            <w:r w:rsidRPr="00496D27">
              <w:rPr>
                <w:rFonts w:ascii="Arial" w:hAnsi="Arial" w:cs="Arial"/>
              </w:rPr>
              <w:t xml:space="preserve">Ashworth Scale vs </w:t>
            </w:r>
          </w:p>
          <w:p w14:paraId="415F6C99" w14:textId="77777777" w:rsidR="00B10B69" w:rsidRPr="00496D27" w:rsidRDefault="00B10B69" w:rsidP="00B10B69">
            <w:pPr>
              <w:rPr>
                <w:rFonts w:ascii="Arial" w:hAnsi="Arial" w:cs="Arial"/>
              </w:rPr>
            </w:pPr>
            <w:r w:rsidRPr="00496D27">
              <w:rPr>
                <w:rFonts w:ascii="Arial" w:hAnsi="Arial" w:cs="Arial"/>
              </w:rPr>
              <w:t>Tardieu Scale</w:t>
            </w:r>
          </w:p>
          <w:p w14:paraId="04D61389" w14:textId="77777777" w:rsidR="00B10B69" w:rsidRPr="00496D27" w:rsidRDefault="00B10B69" w:rsidP="00B10B69">
            <w:pPr>
              <w:rPr>
                <w:rFonts w:ascii="Arial" w:hAnsi="Arial" w:cs="Arial"/>
                <w:b/>
              </w:rPr>
            </w:pPr>
          </w:p>
          <w:p w14:paraId="4F3E4963" w14:textId="23B81C1A" w:rsidR="00B10B69" w:rsidRPr="00496D27" w:rsidRDefault="00B10B69" w:rsidP="00B10B69">
            <w:pPr>
              <w:rPr>
                <w:b/>
              </w:rPr>
            </w:pPr>
            <w:r w:rsidRPr="00496D27">
              <w:rPr>
                <w:rFonts w:ascii="Arial" w:hAnsi="Arial" w:cs="Arial"/>
              </w:rPr>
              <w:t>N=16 Adult stroke patients</w:t>
            </w:r>
          </w:p>
        </w:tc>
        <w:tc>
          <w:tcPr>
            <w:tcW w:w="2880" w:type="dxa"/>
          </w:tcPr>
          <w:p w14:paraId="23922C44" w14:textId="46EC000D" w:rsidR="00B10B69" w:rsidRPr="00496D27" w:rsidRDefault="00B10B69" w:rsidP="00B10B69">
            <w:r w:rsidRPr="00496D27">
              <w:rPr>
                <w:rFonts w:ascii="Arial" w:hAnsi="Arial" w:cs="Arial"/>
              </w:rPr>
              <w:t>Ashworth Scale and Tardieu Scale compared the as well as laboratory measures of spasticity (stretch-induced EMG activity) and contracture</w:t>
            </w:r>
            <w:r w:rsidR="00CB1D5A" w:rsidRPr="00496D27">
              <w:rPr>
                <w:rFonts w:ascii="Arial" w:hAnsi="Arial" w:cs="Arial"/>
              </w:rPr>
              <w:t>.</w:t>
            </w:r>
          </w:p>
        </w:tc>
        <w:tc>
          <w:tcPr>
            <w:tcW w:w="5400" w:type="dxa"/>
          </w:tcPr>
          <w:p w14:paraId="2AE0F11D" w14:textId="05B48DD8" w:rsidR="00A41865" w:rsidRPr="00496D27" w:rsidRDefault="00F9183C" w:rsidP="00BF1E59">
            <w:pPr>
              <w:shd w:val="clear" w:color="auto" w:fill="FFFFFF"/>
              <w:spacing w:before="100" w:beforeAutospacing="1" w:after="384"/>
              <w:rPr>
                <w:rFonts w:ascii="Arial" w:eastAsia="Times New Roman" w:hAnsi="Arial" w:cs="Arial"/>
                <w:color w:val="0A0A0A"/>
                <w:lang w:val="en"/>
              </w:rPr>
            </w:pPr>
            <w:r w:rsidRPr="00496D27">
              <w:rPr>
                <w:rFonts w:ascii="Arial" w:eastAsia="Times New Roman" w:hAnsi="Arial" w:cs="Arial"/>
                <w:color w:val="0A0A0A"/>
                <w:lang w:val="en"/>
              </w:rPr>
              <w:t xml:space="preserve">Presence of Spasticity: </w:t>
            </w:r>
            <w:r w:rsidR="00BF1E59" w:rsidRPr="00496D27">
              <w:rPr>
                <w:rFonts w:ascii="Arial" w:eastAsia="Times New Roman" w:hAnsi="Arial" w:cs="Arial"/>
                <w:color w:val="0A0A0A"/>
                <w:lang w:val="en"/>
              </w:rPr>
              <w:t>PEA (Percentage of exact agreement) of Tardieu and laboratory measure of spasticity</w:t>
            </w:r>
            <w:r w:rsidR="00CB1D5A" w:rsidRPr="00496D27">
              <w:rPr>
                <w:rFonts w:ascii="Arial" w:eastAsia="Times New Roman" w:hAnsi="Arial" w:cs="Arial"/>
                <w:color w:val="0A0A0A"/>
                <w:lang w:val="en"/>
              </w:rPr>
              <w:t xml:space="preserve"> was</w:t>
            </w:r>
            <w:r w:rsidR="00BF1E59" w:rsidRPr="00496D27">
              <w:rPr>
                <w:rFonts w:ascii="Arial" w:eastAsia="Times New Roman" w:hAnsi="Arial" w:cs="Arial"/>
                <w:color w:val="0A0A0A"/>
                <w:lang w:val="en"/>
              </w:rPr>
              <w:t xml:space="preserve"> 100% for elbow flexors</w:t>
            </w:r>
            <w:r w:rsidRPr="00496D27">
              <w:rPr>
                <w:rFonts w:ascii="Arial" w:eastAsia="Times New Roman" w:hAnsi="Arial" w:cs="Arial"/>
                <w:color w:val="0A0A0A"/>
                <w:lang w:val="en"/>
              </w:rPr>
              <w:t xml:space="preserve"> (kappa=1.0)</w:t>
            </w:r>
            <w:r w:rsidR="00BF1E59" w:rsidRPr="00496D27">
              <w:rPr>
                <w:rFonts w:ascii="Arial" w:eastAsia="Times New Roman" w:hAnsi="Arial" w:cs="Arial"/>
                <w:color w:val="0A0A0A"/>
                <w:lang w:val="en"/>
              </w:rPr>
              <w:t xml:space="preserve"> and</w:t>
            </w:r>
            <w:r w:rsidR="00A41865" w:rsidRPr="00496D27">
              <w:rPr>
                <w:rFonts w:ascii="Arial" w:eastAsia="Times New Roman" w:hAnsi="Arial" w:cs="Arial"/>
                <w:color w:val="0A0A0A"/>
                <w:lang w:val="en"/>
              </w:rPr>
              <w:t xml:space="preserve"> 100% for</w:t>
            </w:r>
            <w:r w:rsidR="00CB1D5A" w:rsidRPr="00496D27">
              <w:rPr>
                <w:rFonts w:ascii="Arial" w:eastAsia="Times New Roman" w:hAnsi="Arial" w:cs="Arial"/>
                <w:color w:val="0A0A0A"/>
                <w:lang w:val="en"/>
              </w:rPr>
              <w:t xml:space="preserve"> ankle</w:t>
            </w:r>
            <w:r w:rsidR="00BF1E59" w:rsidRPr="00496D27">
              <w:rPr>
                <w:rFonts w:ascii="Arial" w:eastAsia="Times New Roman" w:hAnsi="Arial" w:cs="Arial"/>
                <w:color w:val="0A0A0A"/>
                <w:lang w:val="en"/>
              </w:rPr>
              <w:t xml:space="preserve"> plantar flexors</w:t>
            </w:r>
            <w:r w:rsidRPr="00496D27">
              <w:rPr>
                <w:rFonts w:ascii="Arial" w:eastAsia="Times New Roman" w:hAnsi="Arial" w:cs="Arial"/>
                <w:color w:val="0A0A0A"/>
                <w:lang w:val="en"/>
              </w:rPr>
              <w:t xml:space="preserve"> (kappa=1.0)</w:t>
            </w:r>
            <w:r w:rsidR="00CB1D5A" w:rsidRPr="00496D27">
              <w:rPr>
                <w:rFonts w:ascii="Arial" w:eastAsia="Times New Roman" w:hAnsi="Arial" w:cs="Arial"/>
                <w:color w:val="0A0A0A"/>
                <w:lang w:val="en"/>
              </w:rPr>
              <w:t>. This was significantly greater than the PEA of 63% for both muscles between the Ashworth Scale and laboratory measures of spasticity.</w:t>
            </w:r>
          </w:p>
          <w:p w14:paraId="256F8DFA" w14:textId="7AB24B04" w:rsidR="00A41865" w:rsidRPr="00496D27" w:rsidRDefault="00F9183C" w:rsidP="00BF1E59">
            <w:pPr>
              <w:shd w:val="clear" w:color="auto" w:fill="FFFFFF"/>
              <w:spacing w:before="100" w:beforeAutospacing="1" w:after="384"/>
              <w:rPr>
                <w:rFonts w:ascii="Arial" w:eastAsia="Times New Roman" w:hAnsi="Arial" w:cs="Arial"/>
                <w:color w:val="0A0A0A"/>
                <w:lang w:val="en"/>
              </w:rPr>
            </w:pPr>
            <w:r w:rsidRPr="00496D27">
              <w:rPr>
                <w:rFonts w:ascii="Arial" w:eastAsia="Times New Roman" w:hAnsi="Arial" w:cs="Arial"/>
                <w:color w:val="0A0A0A"/>
                <w:lang w:val="en"/>
              </w:rPr>
              <w:t xml:space="preserve">Severity of Spasticity: </w:t>
            </w:r>
            <w:r w:rsidR="00A41865" w:rsidRPr="00496D27">
              <w:rPr>
                <w:rFonts w:ascii="Arial" w:eastAsia="Times New Roman" w:hAnsi="Arial" w:cs="Arial"/>
                <w:color w:val="0A0A0A"/>
                <w:lang w:val="en"/>
              </w:rPr>
              <w:t xml:space="preserve">Pearson correlation coefficients between the Tardieu Scale and laboratory measures of spasticity were </w:t>
            </w:r>
            <w:r w:rsidR="00A41865" w:rsidRPr="00496D27">
              <w:rPr>
                <w:rFonts w:ascii="Arial" w:eastAsia="Times New Roman" w:hAnsi="Arial" w:cs="Arial"/>
                <w:i/>
                <w:iCs/>
                <w:color w:val="0A0A0A"/>
                <w:lang w:val="en"/>
              </w:rPr>
              <w:t>r </w:t>
            </w:r>
            <w:r w:rsidR="00A41865" w:rsidRPr="00496D27">
              <w:rPr>
                <w:rFonts w:ascii="Arial" w:eastAsia="Times New Roman" w:hAnsi="Arial" w:cs="Arial"/>
                <w:color w:val="0A0A0A"/>
                <w:lang w:val="en"/>
              </w:rPr>
              <w:t xml:space="preserve">= 0.86 for the elbow flexors and </w:t>
            </w:r>
            <w:r w:rsidR="00A41865" w:rsidRPr="00496D27">
              <w:rPr>
                <w:rFonts w:ascii="Arial" w:eastAsia="Times New Roman" w:hAnsi="Arial" w:cs="Arial"/>
                <w:i/>
                <w:iCs/>
                <w:color w:val="0A0A0A"/>
                <w:lang w:val="en"/>
              </w:rPr>
              <w:t>r </w:t>
            </w:r>
            <w:r w:rsidR="00A41865" w:rsidRPr="00496D27">
              <w:rPr>
                <w:rFonts w:ascii="Arial" w:eastAsia="Times New Roman" w:hAnsi="Arial" w:cs="Arial"/>
                <w:color w:val="0A0A0A"/>
                <w:lang w:val="en"/>
              </w:rPr>
              <w:t>= 0.62 for the ankle plantar flexors</w:t>
            </w:r>
            <w:r w:rsidRPr="00496D27">
              <w:rPr>
                <w:rFonts w:ascii="Arial" w:eastAsia="Times New Roman" w:hAnsi="Arial" w:cs="Arial"/>
                <w:color w:val="0A0A0A"/>
                <w:lang w:val="en"/>
              </w:rPr>
              <w:t>.</w:t>
            </w:r>
          </w:p>
          <w:p w14:paraId="06EF32F8" w14:textId="29BC7356" w:rsidR="00A41865" w:rsidRPr="00496D27" w:rsidRDefault="00F9183C" w:rsidP="00BF1E59">
            <w:pPr>
              <w:shd w:val="clear" w:color="auto" w:fill="FFFFFF"/>
              <w:spacing w:before="100" w:beforeAutospacing="1" w:after="384"/>
              <w:rPr>
                <w:rFonts w:ascii="Arial" w:eastAsia="Times New Roman" w:hAnsi="Arial" w:cs="Arial"/>
                <w:color w:val="0A0A0A"/>
                <w:lang w:val="en"/>
              </w:rPr>
            </w:pPr>
            <w:r w:rsidRPr="00496D27">
              <w:rPr>
                <w:rFonts w:ascii="Arial" w:eastAsia="Times New Roman" w:hAnsi="Arial" w:cs="Arial"/>
                <w:color w:val="0A0A0A"/>
                <w:lang w:val="en"/>
              </w:rPr>
              <w:t>Presence of C</w:t>
            </w:r>
            <w:r w:rsidR="00CB1D5A" w:rsidRPr="00496D27">
              <w:rPr>
                <w:rFonts w:ascii="Arial" w:eastAsia="Times New Roman" w:hAnsi="Arial" w:cs="Arial"/>
                <w:color w:val="0A0A0A"/>
                <w:lang w:val="en"/>
              </w:rPr>
              <w:t>ontracture</w:t>
            </w:r>
            <w:r w:rsidRPr="00496D27">
              <w:rPr>
                <w:rFonts w:ascii="Arial" w:eastAsia="Times New Roman" w:hAnsi="Arial" w:cs="Arial"/>
                <w:color w:val="0A0A0A"/>
                <w:lang w:val="en"/>
              </w:rPr>
              <w:t>:</w:t>
            </w:r>
            <w:r w:rsidR="00CB1D5A" w:rsidRPr="00496D27">
              <w:rPr>
                <w:rFonts w:ascii="Arial" w:eastAsia="Times New Roman" w:hAnsi="Arial" w:cs="Arial"/>
                <w:color w:val="0A0A0A"/>
                <w:lang w:val="en"/>
              </w:rPr>
              <w:t xml:space="preserve"> the PEA between the Tardieu Scale and a laboratory measure was 94% for both the </w:t>
            </w:r>
            <w:r w:rsidR="00CB1D5A" w:rsidRPr="00496D27">
              <w:rPr>
                <w:rFonts w:ascii="Arial" w:eastAsia="Times New Roman" w:hAnsi="Arial" w:cs="Arial"/>
                <w:color w:val="0A0A0A"/>
                <w:lang w:val="en"/>
              </w:rPr>
              <w:lastRenderedPageBreak/>
              <w:t>elbow flexors</w:t>
            </w:r>
            <w:r w:rsidRPr="00496D27">
              <w:rPr>
                <w:rFonts w:ascii="Arial" w:eastAsia="Times New Roman" w:hAnsi="Arial" w:cs="Arial"/>
                <w:color w:val="0A0A0A"/>
                <w:lang w:val="en"/>
              </w:rPr>
              <w:t xml:space="preserve"> (kappa=0.88) </w:t>
            </w:r>
            <w:r w:rsidR="00CB1D5A" w:rsidRPr="00496D27">
              <w:rPr>
                <w:rFonts w:ascii="Arial" w:eastAsia="Times New Roman" w:hAnsi="Arial" w:cs="Arial"/>
                <w:color w:val="0A0A0A"/>
                <w:lang w:val="en"/>
              </w:rPr>
              <w:t>and the ankle plantar flexors</w:t>
            </w:r>
            <w:r w:rsidRPr="00496D27">
              <w:rPr>
                <w:rFonts w:ascii="Arial" w:eastAsia="Times New Roman" w:hAnsi="Arial" w:cs="Arial"/>
                <w:color w:val="0A0A0A"/>
                <w:lang w:val="en"/>
              </w:rPr>
              <w:t xml:space="preserve"> (kappa=.088)</w:t>
            </w:r>
            <w:r w:rsidR="00CB1D5A" w:rsidRPr="00496D27">
              <w:rPr>
                <w:rFonts w:ascii="Arial" w:eastAsia="Times New Roman" w:hAnsi="Arial" w:cs="Arial"/>
                <w:color w:val="0A0A0A"/>
                <w:lang w:val="en"/>
              </w:rPr>
              <w:t xml:space="preserve">. </w:t>
            </w:r>
          </w:p>
          <w:p w14:paraId="39B8E340" w14:textId="25513177" w:rsidR="00B10B69" w:rsidRDefault="00F9183C" w:rsidP="00A41865">
            <w:pPr>
              <w:shd w:val="clear" w:color="auto" w:fill="FFFFFF"/>
              <w:spacing w:before="100" w:beforeAutospacing="1" w:after="384"/>
            </w:pPr>
            <w:r w:rsidRPr="00496D27">
              <w:rPr>
                <w:rFonts w:ascii="Arial" w:eastAsia="Times New Roman" w:hAnsi="Arial" w:cs="Arial"/>
                <w:color w:val="0A0A0A"/>
                <w:lang w:val="en"/>
              </w:rPr>
              <w:t xml:space="preserve">Severity of Contracture: </w:t>
            </w:r>
            <w:r w:rsidR="00A41865" w:rsidRPr="00496D27">
              <w:rPr>
                <w:rFonts w:ascii="Arial" w:eastAsia="Times New Roman" w:hAnsi="Arial" w:cs="Arial"/>
                <w:color w:val="0A0A0A"/>
                <w:lang w:val="en"/>
              </w:rPr>
              <w:t xml:space="preserve">Pearson correlation coefficients </w:t>
            </w:r>
            <w:r w:rsidR="00CB1D5A" w:rsidRPr="00496D27">
              <w:rPr>
                <w:rFonts w:ascii="Arial" w:eastAsia="Times New Roman" w:hAnsi="Arial" w:cs="Arial"/>
                <w:color w:val="0A0A0A"/>
                <w:lang w:val="en"/>
              </w:rPr>
              <w:t xml:space="preserve">between the Tardieu Scale and laboratory measure of contracture were </w:t>
            </w:r>
            <w:r w:rsidR="00A41865" w:rsidRPr="00496D27">
              <w:rPr>
                <w:rFonts w:ascii="Arial" w:eastAsia="Times New Roman" w:hAnsi="Arial" w:cs="Arial"/>
                <w:i/>
                <w:iCs/>
                <w:color w:val="0A0A0A"/>
                <w:lang w:val="en"/>
              </w:rPr>
              <w:t>r </w:t>
            </w:r>
            <w:r w:rsidR="00A41865" w:rsidRPr="00496D27">
              <w:rPr>
                <w:rFonts w:ascii="Arial" w:eastAsia="Times New Roman" w:hAnsi="Arial" w:cs="Arial"/>
                <w:color w:val="0A0A0A"/>
                <w:lang w:val="en"/>
              </w:rPr>
              <w:t xml:space="preserve">= </w:t>
            </w:r>
            <w:r w:rsidR="00CB1D5A" w:rsidRPr="00496D27">
              <w:rPr>
                <w:rFonts w:ascii="Arial" w:eastAsia="Times New Roman" w:hAnsi="Arial" w:cs="Arial"/>
                <w:color w:val="0A0A0A"/>
                <w:lang w:val="en"/>
              </w:rPr>
              <w:t xml:space="preserve">0.89 for the elbow flexors and </w:t>
            </w:r>
            <w:r w:rsidR="00A41865" w:rsidRPr="00496D27">
              <w:rPr>
                <w:rFonts w:ascii="Arial" w:eastAsia="Times New Roman" w:hAnsi="Arial" w:cs="Arial"/>
                <w:i/>
                <w:iCs/>
                <w:color w:val="0A0A0A"/>
                <w:lang w:val="en"/>
              </w:rPr>
              <w:t>r </w:t>
            </w:r>
            <w:r w:rsidR="00A41865" w:rsidRPr="00496D27">
              <w:rPr>
                <w:rFonts w:ascii="Arial" w:eastAsia="Times New Roman" w:hAnsi="Arial" w:cs="Arial"/>
                <w:color w:val="0A0A0A"/>
                <w:lang w:val="en"/>
              </w:rPr>
              <w:t xml:space="preserve">= </w:t>
            </w:r>
            <w:r w:rsidR="00CB1D5A" w:rsidRPr="00496D27">
              <w:rPr>
                <w:rFonts w:ascii="Arial" w:eastAsia="Times New Roman" w:hAnsi="Arial" w:cs="Arial"/>
                <w:color w:val="0A0A0A"/>
                <w:lang w:val="en"/>
              </w:rPr>
              <w:t>0.84 for the ankle plantar flexors.</w:t>
            </w:r>
          </w:p>
        </w:tc>
      </w:tr>
    </w:tbl>
    <w:p w14:paraId="1A7E79D7" w14:textId="398430BF" w:rsidR="00FD25B6" w:rsidRDefault="00FD25B6" w:rsidP="004D7547">
      <w:pPr>
        <w:shd w:val="clear" w:color="auto" w:fill="FFFFFF"/>
        <w:spacing w:after="0" w:line="240" w:lineRule="auto"/>
        <w:rPr>
          <w:rFonts w:ascii="Times New Roman" w:eastAsia="Times New Roman" w:hAnsi="Times New Roman" w:cs="Times New Roman"/>
          <w:spacing w:val="0"/>
          <w:sz w:val="15"/>
          <w:szCs w:val="15"/>
        </w:rPr>
      </w:pPr>
    </w:p>
    <w:p w14:paraId="4E7EEA88" w14:textId="77777777" w:rsidR="00991CE9" w:rsidRDefault="00991CE9" w:rsidP="00991CE9">
      <w:pPr>
        <w:spacing w:after="0" w:line="240" w:lineRule="auto"/>
        <w:rPr>
          <w:rFonts w:ascii="gt-sectra-fine" w:eastAsia="Times New Roman" w:hAnsi="gt-sectra-fine" w:cs="Helvetica"/>
          <w:color w:val="0A0A0A"/>
          <w:spacing w:val="0"/>
          <w:sz w:val="15"/>
          <w:szCs w:val="15"/>
          <w:lang w:val="en"/>
        </w:rPr>
      </w:pPr>
      <w:r>
        <w:rPr>
          <w:rFonts w:ascii="gt-sectra-fine" w:eastAsia="Times New Roman" w:hAnsi="gt-sectra-fine" w:cs="Helvetica"/>
          <w:color w:val="0A0A0A"/>
          <w:spacing w:val="0"/>
          <w:sz w:val="15"/>
          <w:szCs w:val="15"/>
          <w:lang w:val="en"/>
        </w:rPr>
        <w:t> </w:t>
      </w:r>
    </w:p>
    <w:sectPr w:rsidR="00991CE9" w:rsidSect="00FD25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Bold">
    <w:altName w:val="Tahoma"/>
    <w:panose1 w:val="00000000000000000000"/>
    <w:charset w:val="00"/>
    <w:family w:val="swiss"/>
    <w:notTrueType/>
    <w:pitch w:val="default"/>
    <w:sig w:usb0="00000003" w:usb1="00000000" w:usb2="00000000" w:usb3="00000000" w:csb0="00000001" w:csb1="00000000"/>
  </w:font>
  <w:font w:name="gt-sectra-fine">
    <w:altName w:val="Calibri"/>
    <w:charset w:val="00"/>
    <w:family w:val="auto"/>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F3B6A"/>
    <w:multiLevelType w:val="multilevel"/>
    <w:tmpl w:val="0BC4A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DC31BB"/>
    <w:multiLevelType w:val="hybridMultilevel"/>
    <w:tmpl w:val="1B82CE2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E0A2625"/>
    <w:multiLevelType w:val="hybridMultilevel"/>
    <w:tmpl w:val="1AA45E40"/>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FD318B"/>
    <w:multiLevelType w:val="hybridMultilevel"/>
    <w:tmpl w:val="66101280"/>
    <w:lvl w:ilvl="0" w:tplc="30EADA1A">
      <w:start w:val="1"/>
      <w:numFmt w:val="bullet"/>
      <w:lvlText w:val=""/>
      <w:lvlJc w:val="left"/>
      <w:pPr>
        <w:tabs>
          <w:tab w:val="num" w:pos="1170"/>
        </w:tabs>
        <w:ind w:left="117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1924684"/>
    <w:multiLevelType w:val="hybridMultilevel"/>
    <w:tmpl w:val="09B02A3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51D0A5A"/>
    <w:multiLevelType w:val="multilevel"/>
    <w:tmpl w:val="8BF47C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47"/>
    <w:rsid w:val="00077730"/>
    <w:rsid w:val="002207C8"/>
    <w:rsid w:val="00247E14"/>
    <w:rsid w:val="00260FD6"/>
    <w:rsid w:val="002A4A80"/>
    <w:rsid w:val="002C4169"/>
    <w:rsid w:val="00352A44"/>
    <w:rsid w:val="00384375"/>
    <w:rsid w:val="00424BC7"/>
    <w:rsid w:val="00496D27"/>
    <w:rsid w:val="004D7547"/>
    <w:rsid w:val="00541329"/>
    <w:rsid w:val="00550ACE"/>
    <w:rsid w:val="005E30FB"/>
    <w:rsid w:val="00695966"/>
    <w:rsid w:val="006C5406"/>
    <w:rsid w:val="007B1554"/>
    <w:rsid w:val="0085149F"/>
    <w:rsid w:val="008812C2"/>
    <w:rsid w:val="00896BCB"/>
    <w:rsid w:val="008D0D0C"/>
    <w:rsid w:val="008D4015"/>
    <w:rsid w:val="009806E8"/>
    <w:rsid w:val="00991998"/>
    <w:rsid w:val="00991CE9"/>
    <w:rsid w:val="00A03778"/>
    <w:rsid w:val="00A41865"/>
    <w:rsid w:val="00A42E23"/>
    <w:rsid w:val="00AE69A5"/>
    <w:rsid w:val="00B10B69"/>
    <w:rsid w:val="00B21C41"/>
    <w:rsid w:val="00B75414"/>
    <w:rsid w:val="00BF1E59"/>
    <w:rsid w:val="00C34947"/>
    <w:rsid w:val="00C4085E"/>
    <w:rsid w:val="00C839C4"/>
    <w:rsid w:val="00CB1D5A"/>
    <w:rsid w:val="00CE49AB"/>
    <w:rsid w:val="00D77B70"/>
    <w:rsid w:val="00D8447B"/>
    <w:rsid w:val="00DE7BE6"/>
    <w:rsid w:val="00E01FEB"/>
    <w:rsid w:val="00E36539"/>
    <w:rsid w:val="00E74AFD"/>
    <w:rsid w:val="00EF77C5"/>
    <w:rsid w:val="00F736B7"/>
    <w:rsid w:val="00F9183C"/>
    <w:rsid w:val="00FD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B830A"/>
  <w15:chartTrackingRefBased/>
  <w15:docId w15:val="{25D493DD-3B7A-4ED3-AED7-047A1C89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pacing w:val="28"/>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F77C5"/>
    <w:pPr>
      <w:tabs>
        <w:tab w:val="center" w:pos="4320"/>
        <w:tab w:val="right" w:pos="8640"/>
      </w:tabs>
      <w:spacing w:after="0" w:line="240" w:lineRule="auto"/>
    </w:pPr>
    <w:rPr>
      <w:rFonts w:ascii="Times New Roman" w:eastAsia="Times New Roman" w:hAnsi="Times New Roman" w:cs="Times New Roman"/>
      <w:spacing w:val="0"/>
    </w:rPr>
  </w:style>
  <w:style w:type="character" w:customStyle="1" w:styleId="HeaderChar">
    <w:name w:val="Header Char"/>
    <w:basedOn w:val="DefaultParagraphFont"/>
    <w:link w:val="Header"/>
    <w:uiPriority w:val="99"/>
    <w:semiHidden/>
    <w:rsid w:val="00EF77C5"/>
    <w:rPr>
      <w:rFonts w:ascii="Times New Roman" w:eastAsia="Times New Roman" w:hAnsi="Times New Roman" w:cs="Times New Roman"/>
      <w:spacing w:val="0"/>
    </w:rPr>
  </w:style>
  <w:style w:type="paragraph" w:styleId="BodyTextIndent">
    <w:name w:val="Body Text Indent"/>
    <w:basedOn w:val="Normal"/>
    <w:link w:val="BodyTextIndentChar"/>
    <w:rsid w:val="00EF77C5"/>
    <w:pPr>
      <w:spacing w:after="0" w:line="240" w:lineRule="auto"/>
      <w:ind w:left="720"/>
    </w:pPr>
    <w:rPr>
      <w:rFonts w:ascii="Times New Roman" w:eastAsia="Times New Roman" w:hAnsi="Times New Roman" w:cs="Times New Roman"/>
      <w:spacing w:val="0"/>
    </w:rPr>
  </w:style>
  <w:style w:type="character" w:customStyle="1" w:styleId="BodyTextIndentChar">
    <w:name w:val="Body Text Indent Char"/>
    <w:basedOn w:val="DefaultParagraphFont"/>
    <w:link w:val="BodyTextIndent"/>
    <w:rsid w:val="00EF77C5"/>
    <w:rPr>
      <w:rFonts w:ascii="Times New Roman" w:eastAsia="Times New Roman" w:hAnsi="Times New Roman" w:cs="Times New Roman"/>
      <w:spacing w:val="0"/>
    </w:rPr>
  </w:style>
  <w:style w:type="character" w:styleId="Hyperlink">
    <w:name w:val="Hyperlink"/>
    <w:basedOn w:val="DefaultParagraphFont"/>
    <w:rsid w:val="00EF77C5"/>
    <w:rPr>
      <w:color w:val="0000FF"/>
      <w:u w:val="single"/>
    </w:rPr>
  </w:style>
  <w:style w:type="table" w:styleId="TableGrid">
    <w:name w:val="Table Grid"/>
    <w:basedOn w:val="TableNormal"/>
    <w:uiPriority w:val="59"/>
    <w:rsid w:val="00FD25B6"/>
    <w:pPr>
      <w:spacing w:after="0" w:line="240" w:lineRule="auto"/>
    </w:pPr>
    <w:rPr>
      <w:rFonts w:asciiTheme="minorHAnsi" w:eastAsiaTheme="minorEastAsia" w:hAnsiTheme="minorHAnsi" w:cstheme="minorBidi"/>
      <w:spacing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85282">
      <w:bodyDiv w:val="1"/>
      <w:marLeft w:val="0"/>
      <w:marRight w:val="0"/>
      <w:marTop w:val="0"/>
      <w:marBottom w:val="0"/>
      <w:divBdr>
        <w:top w:val="none" w:sz="0" w:space="0" w:color="auto"/>
        <w:left w:val="none" w:sz="0" w:space="0" w:color="auto"/>
        <w:bottom w:val="none" w:sz="0" w:space="0" w:color="auto"/>
        <w:right w:val="none" w:sz="0" w:space="0" w:color="auto"/>
      </w:divBdr>
      <w:divsChild>
        <w:div w:id="1754738675">
          <w:marLeft w:val="0"/>
          <w:marRight w:val="0"/>
          <w:marTop w:val="0"/>
          <w:marBottom w:val="0"/>
          <w:divBdr>
            <w:top w:val="none" w:sz="0" w:space="0" w:color="auto"/>
            <w:left w:val="none" w:sz="0" w:space="0" w:color="auto"/>
            <w:bottom w:val="none" w:sz="0" w:space="0" w:color="auto"/>
            <w:right w:val="none" w:sz="0" w:space="0" w:color="auto"/>
          </w:divBdr>
          <w:divsChild>
            <w:div w:id="426655744">
              <w:marLeft w:val="0"/>
              <w:marRight w:val="0"/>
              <w:marTop w:val="0"/>
              <w:marBottom w:val="0"/>
              <w:divBdr>
                <w:top w:val="none" w:sz="0" w:space="0" w:color="auto"/>
                <w:left w:val="none" w:sz="0" w:space="0" w:color="auto"/>
                <w:bottom w:val="none" w:sz="0" w:space="0" w:color="auto"/>
                <w:right w:val="none" w:sz="0" w:space="0" w:color="auto"/>
              </w:divBdr>
              <w:divsChild>
                <w:div w:id="11077680">
                  <w:marLeft w:val="0"/>
                  <w:marRight w:val="300"/>
                  <w:marTop w:val="0"/>
                  <w:marBottom w:val="0"/>
                  <w:divBdr>
                    <w:top w:val="none" w:sz="0" w:space="0" w:color="auto"/>
                    <w:left w:val="none" w:sz="0" w:space="0" w:color="auto"/>
                    <w:bottom w:val="none" w:sz="0" w:space="0" w:color="auto"/>
                    <w:right w:val="none" w:sz="0" w:space="0" w:color="auto"/>
                  </w:divBdr>
                  <w:divsChild>
                    <w:div w:id="1498308081">
                      <w:marLeft w:val="0"/>
                      <w:marRight w:val="0"/>
                      <w:marTop w:val="0"/>
                      <w:marBottom w:val="0"/>
                      <w:divBdr>
                        <w:top w:val="none" w:sz="0" w:space="0" w:color="auto"/>
                        <w:left w:val="none" w:sz="0" w:space="0" w:color="auto"/>
                        <w:bottom w:val="none" w:sz="0" w:space="0" w:color="auto"/>
                        <w:right w:val="none" w:sz="0" w:space="0" w:color="auto"/>
                      </w:divBdr>
                      <w:divsChild>
                        <w:div w:id="1334064331">
                          <w:marLeft w:val="0"/>
                          <w:marRight w:val="0"/>
                          <w:marTop w:val="0"/>
                          <w:marBottom w:val="0"/>
                          <w:divBdr>
                            <w:top w:val="none" w:sz="0" w:space="0" w:color="auto"/>
                            <w:left w:val="none" w:sz="0" w:space="0" w:color="auto"/>
                            <w:bottom w:val="none" w:sz="0" w:space="0" w:color="auto"/>
                            <w:right w:val="none" w:sz="0" w:space="0" w:color="auto"/>
                          </w:divBdr>
                          <w:divsChild>
                            <w:div w:id="1600721110">
                              <w:marLeft w:val="0"/>
                              <w:marRight w:val="0"/>
                              <w:marTop w:val="0"/>
                              <w:marBottom w:val="0"/>
                              <w:divBdr>
                                <w:top w:val="none" w:sz="0" w:space="0" w:color="auto"/>
                                <w:left w:val="none" w:sz="0" w:space="0" w:color="auto"/>
                                <w:bottom w:val="none" w:sz="0" w:space="0" w:color="auto"/>
                                <w:right w:val="none" w:sz="0" w:space="0" w:color="auto"/>
                              </w:divBdr>
                            </w:div>
                            <w:div w:id="172683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453500">
      <w:bodyDiv w:val="1"/>
      <w:marLeft w:val="0"/>
      <w:marRight w:val="0"/>
      <w:marTop w:val="0"/>
      <w:marBottom w:val="0"/>
      <w:divBdr>
        <w:top w:val="none" w:sz="0" w:space="0" w:color="auto"/>
        <w:left w:val="none" w:sz="0" w:space="0" w:color="auto"/>
        <w:bottom w:val="none" w:sz="0" w:space="0" w:color="auto"/>
        <w:right w:val="none" w:sz="0" w:space="0" w:color="auto"/>
      </w:divBdr>
    </w:div>
    <w:div w:id="1074737457">
      <w:bodyDiv w:val="1"/>
      <w:marLeft w:val="0"/>
      <w:marRight w:val="0"/>
      <w:marTop w:val="0"/>
      <w:marBottom w:val="0"/>
      <w:divBdr>
        <w:top w:val="none" w:sz="0" w:space="0" w:color="auto"/>
        <w:left w:val="none" w:sz="0" w:space="0" w:color="auto"/>
        <w:bottom w:val="none" w:sz="0" w:space="0" w:color="auto"/>
        <w:right w:val="none" w:sz="0" w:space="0" w:color="auto"/>
      </w:divBdr>
    </w:div>
    <w:div w:id="176981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C88909827A114C9C5405D2D1E3C0CD" ma:contentTypeVersion="0" ma:contentTypeDescription="Create a new document." ma:contentTypeScope="" ma:versionID="f614111e46cb553a0be43177f70d0e5b">
  <xsd:schema xmlns:xsd="http://www.w3.org/2001/XMLSchema" xmlns:xs="http://www.w3.org/2001/XMLSchema" xmlns:p="http://schemas.microsoft.com/office/2006/metadata/properties" xmlns:ns2="2d9296ba-24b5-4a4f-8944-e505d6359c6e" targetNamespace="http://schemas.microsoft.com/office/2006/metadata/properties" ma:root="true" ma:fieldsID="5a5bb7590545c2226539f5c7907d4a54" ns2:_="">
    <xsd:import namespace="2d9296ba-24b5-4a4f-8944-e505d6359c6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296ba-24b5-4a4f-8944-e505d6359c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d9296ba-24b5-4a4f-8944-e505d6359c6e">J377XF37SV44-496-12</_dlc_DocId>
    <_dlc_DocIdUrl xmlns="2d9296ba-24b5-4a4f-8944-e505d6359c6e">
      <Url>https://tsrhsp.tsrh.org/_layouts/DocIdRedir.aspx?ID=J377XF37SV44-496-12</Url>
      <Description>J377XF37SV44-496-12</Description>
    </_dlc_DocIdUrl>
  </documentManagement>
</p:properties>
</file>

<file path=customXml/itemProps1.xml><?xml version="1.0" encoding="utf-8"?>
<ds:datastoreItem xmlns:ds="http://schemas.openxmlformats.org/officeDocument/2006/customXml" ds:itemID="{2F2D41CE-1A95-477B-A19F-74202249E9DB}"/>
</file>

<file path=customXml/itemProps2.xml><?xml version="1.0" encoding="utf-8"?>
<ds:datastoreItem xmlns:ds="http://schemas.openxmlformats.org/officeDocument/2006/customXml" ds:itemID="{B71A63BB-EA26-4560-A16C-336CCA1E6BA0}"/>
</file>

<file path=customXml/itemProps3.xml><?xml version="1.0" encoding="utf-8"?>
<ds:datastoreItem xmlns:ds="http://schemas.openxmlformats.org/officeDocument/2006/customXml" ds:itemID="{A58FA43B-11B2-4457-A3A3-0E8AD6418AF9}"/>
</file>

<file path=customXml/itemProps4.xml><?xml version="1.0" encoding="utf-8"?>
<ds:datastoreItem xmlns:ds="http://schemas.openxmlformats.org/officeDocument/2006/customXml" ds:itemID="{148A6E41-E4B1-4D24-86F4-C9EB8525E404}"/>
</file>

<file path=docProps/app.xml><?xml version="1.0" encoding="utf-8"?>
<Properties xmlns="http://schemas.openxmlformats.org/officeDocument/2006/extended-properties" xmlns:vt="http://schemas.openxmlformats.org/officeDocument/2006/docPropsVTypes">
  <Template>Normal.dotm</Template>
  <TotalTime>12</TotalTime>
  <Pages>3</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Clegg</dc:creator>
  <cp:keywords/>
  <dc:description/>
  <cp:lastModifiedBy>Nancy Clegg</cp:lastModifiedBy>
  <cp:revision>5</cp:revision>
  <cp:lastPrinted>2018-04-25T14:06:00Z</cp:lastPrinted>
  <dcterms:created xsi:type="dcterms:W3CDTF">2018-05-23T15:30:00Z</dcterms:created>
  <dcterms:modified xsi:type="dcterms:W3CDTF">2018-05-23T15:44:00Z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0x0101007AC88909827A114C9C5405D2D1E3C0CD</vt:lpwstr>
  </property>
  <property fmtid="{D5CDD505-2E9C-101B-9397-08002B2CF9AE}" pid="3" name="_dlc_DocIdItemGuid">
    <vt:lpwstr>d76c2f80-b064-4f64-a5eb-dd041ee19cf9</vt:lpwstr>
  </property>
</Properties>
</file>